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平顶山市林业局随机检查事项清单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z w:val="44"/>
          <w:szCs w:val="44"/>
          <w:lang w:val="en-US" w:eastAsia="zh-CN"/>
        </w:rPr>
      </w:pPr>
    </w:p>
    <w:tbl>
      <w:tblPr>
        <w:tblStyle w:val="6"/>
        <w:tblW w:w="14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144"/>
        <w:gridCol w:w="3990"/>
        <w:gridCol w:w="1053"/>
        <w:gridCol w:w="1041"/>
        <w:gridCol w:w="1441"/>
        <w:gridCol w:w="1629"/>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87"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61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检查项目</w:t>
            </w:r>
          </w:p>
        </w:tc>
        <w:tc>
          <w:tcPr>
            <w:tcW w:w="105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检查对象</w:t>
            </w:r>
          </w:p>
        </w:tc>
        <w:tc>
          <w:tcPr>
            <w:tcW w:w="104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事项类别</w:t>
            </w:r>
          </w:p>
        </w:tc>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检查方式</w:t>
            </w:r>
          </w:p>
        </w:tc>
        <w:tc>
          <w:tcPr>
            <w:tcW w:w="162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检查主体</w:t>
            </w:r>
          </w:p>
        </w:tc>
        <w:tc>
          <w:tcPr>
            <w:tcW w:w="27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检查类别</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检查内容</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8"/>
                <w:szCs w:val="28"/>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1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对森林、林木、林地的保护、修复、利用、更新的监督检查</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检查征、占用林地的审批手续和征、占用情况</w:t>
            </w:r>
          </w:p>
        </w:tc>
        <w:tc>
          <w:tcPr>
            <w:tcW w:w="105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县级以上林业主管部门</w:t>
            </w:r>
          </w:p>
        </w:tc>
        <w:tc>
          <w:tcPr>
            <w:tcW w:w="27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《中华人民共和国森林法》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第三十七条、</w:t>
            </w:r>
            <w:r>
              <w:rPr>
                <w:rFonts w:hint="default" w:ascii="方正仿宋_GBK" w:hAnsi="方正仿宋_GBK" w:eastAsia="方正仿宋_GBK" w:cs="方正仿宋_GBK"/>
                <w:sz w:val="24"/>
                <w:szCs w:val="24"/>
                <w:vertAlign w:val="baseline"/>
                <w:lang w:val="en-US" w:eastAsia="zh-CN"/>
              </w:rPr>
              <w:t>第六十六</w:t>
            </w:r>
            <w:r>
              <w:rPr>
                <w:rFonts w:hint="eastAsia" w:ascii="方正仿宋_GBK" w:hAnsi="方正仿宋_GBK" w:eastAsia="方正仿宋_GBK" w:cs="方正仿宋_GBK"/>
                <w:sz w:val="24"/>
                <w:szCs w:val="24"/>
                <w:vertAlign w:val="baseline"/>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检查林木采伐审批手续和采伐情况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检查有无毁坏林木、林地情况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sz w:val="24"/>
                <w:szCs w:val="24"/>
                <w:vertAlign w:val="baseline"/>
                <w:lang w:val="en-US" w:eastAsia="zh-CN"/>
              </w:rPr>
              <w:t>检查天然林保护禁伐制度执行情况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检查林业有害生物防治情况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检查植树造林完成情况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检查恢复森林植被情况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检查有无收购、加工、运输非法来源林木情况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检查林木采伐后的更新造林情况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21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对研究、繁育、利用野生动物的监督检查</w:t>
            </w:r>
          </w:p>
        </w:tc>
        <w:tc>
          <w:tcPr>
            <w:tcW w:w="3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检查科学研究、人工繁育、公众展示展演等利用野生动物及其制品的活动情况，查验《驯养繁殖许可证》</w:t>
            </w:r>
          </w:p>
        </w:tc>
        <w:tc>
          <w:tcPr>
            <w:tcW w:w="105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县级以上林业主管部门</w:t>
            </w:r>
          </w:p>
        </w:tc>
        <w:tc>
          <w:tcPr>
            <w:tcW w:w="2775"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320" w:lineRule="exact"/>
              <w:ind w:left="0" w:right="0"/>
              <w:textAlignment w:val="auto"/>
              <w:rPr>
                <w:rFonts w:hint="eastAsia" w:ascii="方正仿宋_GBK" w:hAnsi="方正仿宋_GBK" w:eastAsia="方正仿宋_GBK" w:cs="方正仿宋_GBK"/>
                <w:b w:val="0"/>
                <w:kern w:val="2"/>
                <w:sz w:val="24"/>
                <w:szCs w:val="24"/>
                <w:vertAlign w:val="baseline"/>
                <w:lang w:val="en-US" w:eastAsia="zh-CN" w:bidi="ar-SA"/>
              </w:rPr>
            </w:pPr>
            <w:r>
              <w:rPr>
                <w:rFonts w:hint="eastAsia" w:ascii="方正仿宋_GBK" w:hAnsi="方正仿宋_GBK" w:eastAsia="方正仿宋_GBK" w:cs="方正仿宋_GBK"/>
                <w:b w:val="0"/>
                <w:color w:val="333333"/>
                <w:kern w:val="2"/>
                <w:sz w:val="24"/>
                <w:szCs w:val="24"/>
                <w:vertAlign w:val="baseline"/>
                <w:lang w:val="en-US" w:eastAsia="zh-CN" w:bidi="ar-SA"/>
              </w:rPr>
              <w:t>《中华人</w:t>
            </w:r>
            <w:r>
              <w:rPr>
                <w:rFonts w:hint="eastAsia" w:ascii="方正仿宋_GBK" w:hAnsi="方正仿宋_GBK" w:eastAsia="方正仿宋_GBK" w:cs="方正仿宋_GBK"/>
                <w:b w:val="0"/>
                <w:kern w:val="2"/>
                <w:sz w:val="24"/>
                <w:szCs w:val="24"/>
                <w:vertAlign w:val="baseline"/>
                <w:lang w:val="en-US" w:eastAsia="zh-CN" w:bidi="ar-SA"/>
              </w:rPr>
              <w:t>民共和国野生动物保护法》第三十四条；</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val="0"/>
                <w:kern w:val="2"/>
                <w:sz w:val="24"/>
                <w:szCs w:val="24"/>
                <w:vertAlign w:val="baseline"/>
                <w:lang w:val="en-US" w:eastAsia="zh-CN" w:bidi="ar-SA"/>
              </w:rPr>
            </w:pPr>
            <w:r>
              <w:rPr>
                <w:rFonts w:hint="eastAsia" w:ascii="方正仿宋_GBK" w:hAnsi="方正仿宋_GBK" w:eastAsia="方正仿宋_GBK" w:cs="方正仿宋_GBK"/>
                <w:b w:val="0"/>
                <w:kern w:val="2"/>
                <w:sz w:val="24"/>
                <w:szCs w:val="24"/>
                <w:vertAlign w:val="baseline"/>
                <w:lang w:val="en-US" w:eastAsia="zh-CN" w:bidi="ar-SA"/>
              </w:rPr>
              <w:t>《野生动物收容救护管理办法》第十四条；</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val="0"/>
                <w:kern w:val="2"/>
                <w:sz w:val="24"/>
                <w:szCs w:val="24"/>
                <w:vertAlign w:val="baseline"/>
                <w:lang w:val="en-US" w:eastAsia="zh-CN" w:bidi="ar-SA"/>
              </w:rPr>
            </w:pPr>
            <w:r>
              <w:rPr>
                <w:rFonts w:hint="eastAsia" w:ascii="方正仿宋_GBK" w:hAnsi="方正仿宋_GBK" w:eastAsia="方正仿宋_GBK" w:cs="方正仿宋_GBK"/>
                <w:b w:val="0"/>
                <w:kern w:val="2"/>
                <w:sz w:val="24"/>
                <w:szCs w:val="24"/>
                <w:vertAlign w:val="baseline"/>
                <w:lang w:val="en-US" w:eastAsia="zh-CN" w:bidi="ar-SA"/>
              </w:rPr>
              <w:t>《国家重点保护野生动物驯养繁殖许可证管理办法》第十条第一款。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检查收容救护野生动物情况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8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214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对自然保护区、森林公园经营管理活动的监督检查</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检查各类自然保护地管理情况</w:t>
            </w:r>
          </w:p>
        </w:tc>
        <w:tc>
          <w:tcPr>
            <w:tcW w:w="105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县级以上林业主管部门</w:t>
            </w:r>
          </w:p>
        </w:tc>
        <w:tc>
          <w:tcPr>
            <w:tcW w:w="277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《中华人民共和国自然保护区条例》第二十条；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《国家级森林公园管理办法》第二十九条。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8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14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检查国家级森林公园总体规划、专项规划及其他经营管理活动情况</w:t>
            </w:r>
          </w:p>
        </w:tc>
        <w:tc>
          <w:tcPr>
            <w:tcW w:w="105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0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44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162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c>
          <w:tcPr>
            <w:tcW w:w="277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4</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对湿地保护和管理工作的监督检查</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检查湿地的保护、管理工作情况</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县级以上林业主管部门</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《河南省湿地保护条例》第六条第二款、第二十三条、第二十四条。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对退耕还林建设项目的检查验收</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检查验收退耕还林建设项目完成情况</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县级以上林业主管部门</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《退耕还林条例》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6</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对义务植树工作的监督检查</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检查义务植树任务完成情况</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人民政府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绿化委员会</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《河南省义务植树条例》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对古树名木保护工作的监督检查</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检查古树名木保护情况</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人民政府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绿化委员会</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《全国绿化委员会关于加强保护古树名木工作的决定》第三条；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《河南省人民政府办公厅关于加强古树名木保护工作的通知》。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对森林防火区内有关单位防火责任制和森林火灾隐患的监督检查</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检查森林防火区内有关单位的森林防火组织建设、森林防火责任制落实、森林防火设施建设、森林火灾隐患等情况</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人民政府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护林防火</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指挥机构</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《森林防火条例》第二十四条；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《河南省森林防火条例》第二十条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对应施检疫林业植物生产、经营、调运、使用情况的监督检查</w:t>
            </w:r>
          </w:p>
        </w:tc>
        <w:tc>
          <w:tcPr>
            <w:tcW w:w="3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检查调入的林木种苗及其它应施检疫的林业植物的植物检疫证书</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各级林业植物检疫机构</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《植物检疫条例》第三条；《河南省植物检疫条例》第四条。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10</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对林木种苗生产经营活动的监督检查</w:t>
            </w:r>
          </w:p>
        </w:tc>
        <w:tc>
          <w:tcPr>
            <w:tcW w:w="3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检查林木种苗生产经营单位的依法许可和生产经营情况</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县级以上林业主管部门</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《中华人民共和国种子法》第三条、第五十条。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11</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对林木种苗质量的监督检查</w:t>
            </w:r>
          </w:p>
        </w:tc>
        <w:tc>
          <w:tcPr>
            <w:tcW w:w="3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检查林木种苗质量情况</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县级以上林业主管部门</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《中华人民共和国种子法》第四十七条第一款。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12</w:t>
            </w:r>
          </w:p>
        </w:tc>
        <w:tc>
          <w:tcPr>
            <w:tcW w:w="21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对可能造成涉林土壤污染活动的企事业单位和其他生产经营者的监督检查</w:t>
            </w:r>
          </w:p>
        </w:tc>
        <w:tc>
          <w:tcPr>
            <w:tcW w:w="3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检查可能造成涉林土壤污染的生产经营活动情况</w:t>
            </w:r>
          </w:p>
        </w:tc>
        <w:tc>
          <w:tcPr>
            <w:tcW w:w="10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相关市场主体</w:t>
            </w:r>
          </w:p>
        </w:tc>
        <w:tc>
          <w:tcPr>
            <w:tcW w:w="10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一般检查事项</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现场检查</w:t>
            </w:r>
          </w:p>
        </w:tc>
        <w:tc>
          <w:tcPr>
            <w:tcW w:w="162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县级以上林业主管部门</w:t>
            </w:r>
          </w:p>
        </w:tc>
        <w:tc>
          <w:tcPr>
            <w:tcW w:w="27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《中华人民共和国土壤污染防治法》第七条第二款、第七十七条。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9" w:hRule="atLeast"/>
          <w:jc w:val="center"/>
        </w:trPr>
        <w:tc>
          <w:tcPr>
            <w:tcW w:w="14660" w:type="dxa"/>
            <w:gridSpan w:val="8"/>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723" w:firstLineChars="200"/>
              <w:jc w:val="left"/>
              <w:textAlignment w:val="auto"/>
              <w:rPr>
                <w:rFonts w:hint="eastAsia" w:asciiTheme="minorEastAsia" w:hAnsiTheme="minorEastAsia" w:eastAsiaTheme="minorEastAsia" w:cstheme="minorEastAsia"/>
                <w:b w:val="0"/>
                <w:bCs w:val="0"/>
                <w:color w:val="auto"/>
                <w:sz w:val="36"/>
                <w:szCs w:val="36"/>
                <w:vertAlign w:val="baseline"/>
                <w:lang w:val="en-US" w:eastAsia="zh-CN"/>
              </w:rPr>
            </w:pPr>
            <w:r>
              <w:rPr>
                <w:rFonts w:hint="eastAsia" w:ascii="黑体" w:hAnsi="黑体" w:eastAsia="黑体" w:cs="黑体"/>
                <w:b/>
                <w:bCs/>
                <w:color w:val="FF0000"/>
                <w:sz w:val="36"/>
                <w:szCs w:val="36"/>
                <w:vertAlign w:val="baseline"/>
                <w:lang w:val="en-US" w:eastAsia="zh-CN"/>
              </w:rPr>
              <w:t>说明</w:t>
            </w:r>
            <w:r>
              <w:rPr>
                <w:rFonts w:hint="eastAsia" w:ascii="方正仿宋_GBK" w:hAnsi="方正仿宋_GBK" w:eastAsia="方正仿宋_GBK" w:cs="方正仿宋_GBK"/>
                <w:b/>
                <w:bCs/>
                <w:color w:val="FF0000"/>
                <w:sz w:val="36"/>
                <w:szCs w:val="36"/>
                <w:vertAlign w:val="baseline"/>
                <w:lang w:val="en-US" w:eastAsia="zh-CN"/>
              </w:rPr>
              <w:t>：</w:t>
            </w:r>
            <w:r>
              <w:rPr>
                <w:rFonts w:hint="eastAsia" w:asciiTheme="minorEastAsia" w:hAnsiTheme="minorEastAsia" w:eastAsiaTheme="minorEastAsia" w:cstheme="minorEastAsia"/>
                <w:b w:val="0"/>
                <w:bCs w:val="0"/>
                <w:color w:val="auto"/>
                <w:sz w:val="36"/>
                <w:szCs w:val="36"/>
                <w:vertAlign w:val="baseline"/>
                <w:lang w:val="en-US" w:eastAsia="zh-CN"/>
              </w:rPr>
              <w:t>今后林业行政执法部门可在国家企业信用信息系统（部门协同监管平台）对不配合监督检查、或不履行处罚、或屡次违法的市场主体，可以录入相关情况，对在其银行贷款、招投标、政府采购、获得荣誉等方面实施信用联合惩戒，提高自律意识和执法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720" w:firstLineChars="200"/>
              <w:jc w:val="left"/>
              <w:textAlignment w:val="auto"/>
              <w:rPr>
                <w:rFonts w:hint="eastAsia" w:asciiTheme="minorEastAsia" w:hAnsiTheme="minorEastAsia" w:eastAsiaTheme="minorEastAsia" w:cstheme="minorEastAsia"/>
                <w:b w:val="0"/>
                <w:bCs w:val="0"/>
                <w:color w:val="auto"/>
                <w:sz w:val="36"/>
                <w:szCs w:val="36"/>
                <w:vertAlign w:val="baseline"/>
                <w:lang w:val="en-US" w:eastAsia="zh-CN"/>
              </w:rPr>
            </w:pPr>
            <w:r>
              <w:rPr>
                <w:rFonts w:hint="eastAsia" w:asciiTheme="minorEastAsia" w:hAnsiTheme="minorEastAsia" w:eastAsiaTheme="minorEastAsia" w:cstheme="minorEastAsia"/>
                <w:b w:val="0"/>
                <w:bCs w:val="0"/>
                <w:color w:val="auto"/>
                <w:sz w:val="36"/>
                <w:szCs w:val="36"/>
                <w:vertAlign w:val="baseline"/>
                <w:lang w:val="en-US" w:eastAsia="zh-CN"/>
              </w:rPr>
              <w:t>对持有《营业执照》的相关涉林市场主体（含涉及林木、木材、林地、湿地、自然保护地、林木种苗、森林防火、林业植物检疫、野生动植物、林业种植及加工等方面），林业行政监督检查需要结合年度抽查工作计划，在国家“双随机一公开”政府网络平台“随机抽取检查对象，随机选派执法检查人员，抽查情况及查处结果及时向社会公开”进行抽查，且同一被抽查对象原则上一年不超过2次抽查，对高风险监管对象和失信市场主体可适当提高抽查比例和抽查频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720" w:firstLineChars="200"/>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Theme="minorEastAsia" w:hAnsiTheme="minorEastAsia" w:eastAsiaTheme="minorEastAsia" w:cstheme="minorEastAsia"/>
                <w:b w:val="0"/>
                <w:bCs w:val="0"/>
                <w:color w:val="auto"/>
                <w:sz w:val="36"/>
                <w:szCs w:val="36"/>
                <w:vertAlign w:val="baseline"/>
                <w:lang w:val="en-US" w:eastAsia="zh-CN"/>
              </w:rPr>
              <w:t>其中，不适用“双随机一公开”抽查的情形主要有：（一）国务院、国家林草局和省政府及其林业主管部门对监督检查有专门要求或重点工作部署的；（二）受理投诉举报、大数据监测、依法履职过程中发现涉嫌违法违规行为，依法应当进行监督检查的；（三）转办、交办、督办案件的；（四）森林防火</w:t>
            </w:r>
            <w:r>
              <w:rPr>
                <w:rFonts w:hint="eastAsia" w:asciiTheme="minorEastAsia" w:hAnsiTheme="minorEastAsia" w:cstheme="minorEastAsia"/>
                <w:b w:val="0"/>
                <w:bCs w:val="0"/>
                <w:color w:val="auto"/>
                <w:sz w:val="36"/>
                <w:szCs w:val="36"/>
                <w:vertAlign w:val="baseline"/>
                <w:lang w:val="en-US" w:eastAsia="zh-CN"/>
              </w:rPr>
              <w:t>、防疫</w:t>
            </w:r>
            <w:r>
              <w:rPr>
                <w:rFonts w:hint="eastAsia" w:asciiTheme="minorEastAsia" w:hAnsiTheme="minorEastAsia" w:eastAsiaTheme="minorEastAsia" w:cstheme="minorEastAsia"/>
                <w:b w:val="0"/>
                <w:bCs w:val="0"/>
                <w:color w:val="auto"/>
                <w:sz w:val="36"/>
                <w:szCs w:val="36"/>
                <w:vertAlign w:val="baseline"/>
                <w:lang w:val="en-US" w:eastAsia="zh-CN"/>
              </w:rPr>
              <w:t>等突发性安全事件的；（五）其他不适用于随机抽查事项的。</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市林业局“双随机一公开”公示系统拟录入执法人员库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44"/>
          <w:szCs w:val="44"/>
          <w:lang w:val="en-US" w:eastAsia="zh-CN"/>
        </w:rPr>
      </w:pPr>
    </w:p>
    <w:tbl>
      <w:tblPr>
        <w:tblStyle w:val="6"/>
        <w:tblW w:w="13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669"/>
        <w:gridCol w:w="1650"/>
        <w:gridCol w:w="1770"/>
        <w:gridCol w:w="5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序号</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执法人员库名</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备注信息</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人数</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（共27人）</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入库人员名单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1</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森林资源管理执法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资源科</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2</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王永胜、刘景帅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2</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自然保护地和野生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动植物保护管理</w:t>
            </w:r>
            <w:bookmarkStart w:id="0" w:name="_GoBack"/>
            <w:bookmarkEnd w:id="0"/>
            <w:r>
              <w:rPr>
                <w:rFonts w:hint="eastAsia" w:ascii="方正仿宋_GBK" w:hAnsi="方正仿宋_GBK" w:eastAsia="方正仿宋_GBK" w:cs="方正仿宋_GBK"/>
                <w:b w:val="0"/>
                <w:bCs w:val="0"/>
                <w:sz w:val="32"/>
                <w:szCs w:val="32"/>
                <w:vertAlign w:val="baseline"/>
                <w:lang w:val="en-US" w:eastAsia="zh-CN"/>
              </w:rPr>
              <w:t>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野保科</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2</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赵新闯、李先志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3</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生态建设修复执法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生态科</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1</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薛寒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4</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义务植树执法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绿委办</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5</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余祖运、朱建设、李小菲、武平安、霍凯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5</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森林防火执法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防火办</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4</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宋建堂、李林森、何蓓蓓、高东彪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6</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湿地保护管理执法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湿地中心</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1</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彭鹏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7</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林木种苗管理执法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种苗站</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5</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刘银萍、陈应旭、库红才、徐亚龙、陈光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8</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林业有害生物防治检疫执法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森防站</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6</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张立峰、王晓展、姚昊瑞、</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和晓亮、王晓飞、刘晨琛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9</w:t>
            </w:r>
          </w:p>
        </w:tc>
        <w:tc>
          <w:tcPr>
            <w:tcW w:w="3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木材检查林政稽查执法</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稽查大队</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1</w:t>
            </w:r>
          </w:p>
        </w:tc>
        <w:tc>
          <w:tcPr>
            <w:tcW w:w="59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vertAlign w:val="baseline"/>
                <w:lang w:val="en-US" w:eastAsia="zh-CN"/>
              </w:rPr>
            </w:pPr>
            <w:r>
              <w:rPr>
                <w:rFonts w:hint="eastAsia" w:ascii="方正仿宋_GBK" w:hAnsi="方正仿宋_GBK" w:eastAsia="方正仿宋_GBK" w:cs="方正仿宋_GBK"/>
                <w:b w:val="0"/>
                <w:bCs w:val="0"/>
                <w:sz w:val="32"/>
                <w:szCs w:val="32"/>
                <w:vertAlign w:val="baseline"/>
                <w:lang w:val="en-US" w:eastAsia="zh-CN"/>
              </w:rPr>
              <w:t>孙涛</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_GBK" w:hAnsi="方正小标宋_GBK" w:eastAsia="方正小标宋_GBK" w:cs="方正小标宋_GBK"/>
          <w:sz w:val="44"/>
          <w:szCs w:val="44"/>
          <w:lang w:val="en-US" w:eastAsia="zh-CN"/>
        </w:rPr>
      </w:pPr>
    </w:p>
    <w:sectPr>
      <w:footerReference r:id="rId3" w:type="default"/>
      <w:pgSz w:w="16838" w:h="11906" w:orient="landscape"/>
      <w:pgMar w:top="1247" w:right="1134" w:bottom="1134" w:left="113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D371B"/>
    <w:rsid w:val="014914C3"/>
    <w:rsid w:val="06330C4F"/>
    <w:rsid w:val="11A63371"/>
    <w:rsid w:val="120C34B9"/>
    <w:rsid w:val="26423827"/>
    <w:rsid w:val="2E3D371B"/>
    <w:rsid w:val="2F5928E8"/>
    <w:rsid w:val="2FD14484"/>
    <w:rsid w:val="308A25BB"/>
    <w:rsid w:val="34603A05"/>
    <w:rsid w:val="34643D47"/>
    <w:rsid w:val="356B5561"/>
    <w:rsid w:val="36860CDB"/>
    <w:rsid w:val="36A718A1"/>
    <w:rsid w:val="3A560F3D"/>
    <w:rsid w:val="3EA03411"/>
    <w:rsid w:val="46101648"/>
    <w:rsid w:val="47BF31D0"/>
    <w:rsid w:val="492A65C6"/>
    <w:rsid w:val="4E482811"/>
    <w:rsid w:val="53C207EF"/>
    <w:rsid w:val="5B2B1833"/>
    <w:rsid w:val="5F370790"/>
    <w:rsid w:val="5F3B4F88"/>
    <w:rsid w:val="662D596C"/>
    <w:rsid w:val="763A68B0"/>
    <w:rsid w:val="770837F2"/>
    <w:rsid w:val="770C76EB"/>
    <w:rsid w:val="776E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color w:val="333333"/>
      <w:kern w:val="44"/>
      <w:sz w:val="42"/>
      <w:szCs w:val="42"/>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ascii="Courier New" w:hAnsi="Courier New"/>
      <w:sz w:val="24"/>
      <w:szCs w:val="24"/>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338DE6"/>
      <w:u w:val="none"/>
    </w:rPr>
  </w:style>
  <w:style w:type="character" w:styleId="16">
    <w:name w:val="HTML Code"/>
    <w:basedOn w:val="7"/>
    <w:qFormat/>
    <w:uiPriority w:val="0"/>
    <w:rPr>
      <w:rFonts w:hint="default" w:ascii="serif" w:hAnsi="serif" w:eastAsia="serif" w:cs="serif"/>
      <w:sz w:val="21"/>
      <w:szCs w:val="21"/>
    </w:rPr>
  </w:style>
  <w:style w:type="character" w:styleId="17">
    <w:name w:val="HTML Cite"/>
    <w:basedOn w:val="7"/>
    <w:qFormat/>
    <w:uiPriority w:val="0"/>
  </w:style>
  <w:style w:type="character" w:styleId="18">
    <w:name w:val="HTML Keyboard"/>
    <w:basedOn w:val="7"/>
    <w:qFormat/>
    <w:uiPriority w:val="0"/>
    <w:rPr>
      <w:rFonts w:hint="default" w:ascii="serif" w:hAnsi="serif" w:eastAsia="serif" w:cs="serif"/>
      <w:sz w:val="21"/>
      <w:szCs w:val="21"/>
    </w:rPr>
  </w:style>
  <w:style w:type="character" w:styleId="19">
    <w:name w:val="HTML Sample"/>
    <w:basedOn w:val="7"/>
    <w:qFormat/>
    <w:uiPriority w:val="0"/>
    <w:rPr>
      <w:rFonts w:ascii="serif" w:hAnsi="serif" w:eastAsia="serif" w:cs="serif"/>
      <w:sz w:val="21"/>
      <w:szCs w:val="21"/>
    </w:rPr>
  </w:style>
  <w:style w:type="paragraph" w:customStyle="1" w:styleId="20">
    <w:name w:val="lemmawgt-lemmatitle-title"/>
    <w:basedOn w:val="1"/>
    <w:qFormat/>
    <w:uiPriority w:val="0"/>
    <w:pPr>
      <w:spacing w:before="0" w:beforeAutospacing="0" w:after="75" w:afterAutospacing="0" w:line="585" w:lineRule="atLeast"/>
      <w:ind w:left="0" w:right="0"/>
      <w:jc w:val="left"/>
    </w:pPr>
    <w:rPr>
      <w:kern w:val="0"/>
      <w:lang w:val="en-US" w:eastAsia="zh-CN" w:bidi="ar"/>
    </w:rPr>
  </w:style>
  <w:style w:type="character" w:customStyle="1" w:styleId="21">
    <w:name w:val="fontborder"/>
    <w:basedOn w:val="7"/>
    <w:qFormat/>
    <w:uiPriority w:val="0"/>
    <w:rPr>
      <w:bdr w:val="single" w:color="000000" w:sz="6" w:space="0"/>
    </w:rPr>
  </w:style>
  <w:style w:type="character" w:customStyle="1" w:styleId="22">
    <w:name w:val="fontstrikethrough"/>
    <w:basedOn w:val="7"/>
    <w:qFormat/>
    <w:uiPriority w:val="0"/>
    <w:rPr>
      <w:strike/>
    </w:rPr>
  </w:style>
  <w:style w:type="character" w:customStyle="1" w:styleId="23">
    <w:name w:val="lemmawgt-lemmatitle-title1"/>
    <w:basedOn w:val="7"/>
    <w:qFormat/>
    <w:uiPriority w:val="0"/>
  </w:style>
  <w:style w:type="character" w:customStyle="1" w:styleId="24">
    <w:name w:val="c-icon12"/>
    <w:basedOn w:val="7"/>
    <w:qFormat/>
    <w:uiPriority w:val="0"/>
  </w:style>
  <w:style w:type="character" w:customStyle="1" w:styleId="25">
    <w:name w:val="bshare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2020-03-03T04:34:00Z</dcterms:created>
  <dc:creator>Administrator</dc:creator>
  <cp:lastModifiedBy>Administrator</cp:lastModifiedBy>
  <cp:lastPrinted>2020-03-09T01:26:09Z</cp:lastPrinted>
  <dcterms:modified xsi:type="dcterms:W3CDTF">2020-03-09T01:26:45Z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