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lear" w:pos="3261"/>
          <w:tab w:val="clear" w:pos="4536"/>
        </w:tabs>
        <w:spacing w:line="360" w:lineRule="auto"/>
        <w:ind w:firstLine="567" w:firstLineChars="0"/>
        <w:rPr>
          <w:szCs w:val="22"/>
        </w:rPr>
      </w:pPr>
    </w:p>
    <w:p>
      <w:pPr>
        <w:widowControl/>
        <w:tabs>
          <w:tab w:val="clear" w:pos="3261"/>
          <w:tab w:val="clear" w:pos="4536"/>
        </w:tabs>
        <w:spacing w:line="360" w:lineRule="auto"/>
        <w:ind w:firstLine="567" w:firstLineChars="0"/>
        <w:rPr>
          <w:szCs w:val="22"/>
        </w:rPr>
      </w:pPr>
    </w:p>
    <w:p>
      <w:pPr>
        <w:widowControl/>
        <w:tabs>
          <w:tab w:val="clear" w:pos="3261"/>
          <w:tab w:val="clear" w:pos="4536"/>
        </w:tabs>
        <w:spacing w:line="360" w:lineRule="auto"/>
        <w:ind w:firstLine="567" w:firstLineChars="0"/>
        <w:rPr>
          <w:szCs w:val="22"/>
        </w:rPr>
      </w:pPr>
    </w:p>
    <w:p>
      <w:pPr>
        <w:widowControl/>
        <w:tabs>
          <w:tab w:val="clear" w:pos="3261"/>
          <w:tab w:val="clear" w:pos="4536"/>
        </w:tabs>
        <w:spacing w:line="360" w:lineRule="auto"/>
        <w:ind w:firstLine="567" w:firstLineChars="0"/>
        <w:rPr>
          <w:szCs w:val="22"/>
        </w:rPr>
      </w:pPr>
      <w:r>
        <w:rPr>
          <w:kern w:val="0"/>
          <w:sz w:val="24"/>
          <w:szCs w:val="24"/>
        </w:rPr>
        <mc:AlternateContent>
          <mc:Choice Requires="wps">
            <w:drawing>
              <wp:anchor distT="45720" distB="45720" distL="114300" distR="114300" simplePos="0" relativeHeight="251663360" behindDoc="0" locked="0" layoutInCell="1" allowOverlap="1">
                <wp:simplePos x="0" y="0"/>
                <wp:positionH relativeFrom="column">
                  <wp:posOffset>-1133475</wp:posOffset>
                </wp:positionH>
                <wp:positionV relativeFrom="paragraph">
                  <wp:posOffset>638175</wp:posOffset>
                </wp:positionV>
                <wp:extent cx="7572375" cy="1604010"/>
                <wp:effectExtent l="9525" t="12065" r="9525" b="12700"/>
                <wp:wrapSquare wrapText="bothSides"/>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7572375" cy="1604010"/>
                        </a:xfrm>
                        <a:prstGeom prst="rect">
                          <a:avLst/>
                        </a:prstGeom>
                        <a:solidFill>
                          <a:srgbClr val="2F5597"/>
                        </a:solidFill>
                        <a:ln w="9525">
                          <a:solidFill>
                            <a:srgbClr val="000000"/>
                          </a:solidFill>
                          <a:miter lim="800000"/>
                        </a:ln>
                      </wps:spPr>
                      <wps:txbx>
                        <w:txbxContent>
                          <w:p>
                            <w:pPr>
                              <w:ind w:firstLine="0" w:firstLineChars="0"/>
                              <w:jc w:val="center"/>
                              <w:rPr>
                                <w:rFonts w:ascii="宋体" w:hAnsi="宋体"/>
                                <w:b/>
                                <w:color w:val="FFFFFF" w:themeColor="background1"/>
                                <w:sz w:val="48"/>
                                <w14:textFill>
                                  <w14:solidFill>
                                    <w14:schemeClr w14:val="bg1"/>
                                  </w14:solidFill>
                                </w14:textFill>
                              </w:rPr>
                            </w:pPr>
                            <w:r>
                              <w:rPr>
                                <w:rFonts w:hint="eastAsia" w:ascii="宋体" w:hAnsi="宋体"/>
                                <w:b/>
                                <w:color w:val="FFFFFF" w:themeColor="background1"/>
                                <w:sz w:val="48"/>
                                <w14:textFill>
                                  <w14:solidFill>
                                    <w14:schemeClr w14:val="bg1"/>
                                  </w14:solidFill>
                                </w14:textFill>
                              </w:rPr>
                              <w:t>河南省平顶山市市本级国家储备林</w:t>
                            </w:r>
                          </w:p>
                          <w:p>
                            <w:pPr>
                              <w:ind w:firstLine="0" w:firstLineChars="0"/>
                              <w:jc w:val="center"/>
                              <w:rPr>
                                <w:rFonts w:ascii="宋体" w:hAnsi="宋体"/>
                                <w:b/>
                                <w:color w:val="FFFFFF" w:themeColor="background1"/>
                                <w:sz w:val="48"/>
                                <w14:textFill>
                                  <w14:solidFill>
                                    <w14:schemeClr w14:val="bg1"/>
                                  </w14:solidFill>
                                </w14:textFill>
                              </w:rPr>
                            </w:pPr>
                            <w:r>
                              <w:rPr>
                                <w:rFonts w:hint="eastAsia" w:ascii="宋体" w:hAnsi="宋体"/>
                                <w:b/>
                                <w:color w:val="FFFFFF" w:themeColor="background1"/>
                                <w:sz w:val="48"/>
                                <w14:textFill>
                                  <w14:solidFill>
                                    <w14:schemeClr w14:val="bg1"/>
                                  </w14:solidFill>
                                </w14:textFill>
                              </w:rPr>
                              <w:t>基地建设PPP项目</w:t>
                            </w:r>
                          </w:p>
                          <w:p>
                            <w:pPr>
                              <w:ind w:firstLine="0" w:firstLineChars="0"/>
                              <w:jc w:val="center"/>
                              <w:rPr>
                                <w:rFonts w:ascii="宋体" w:hAnsi="宋体"/>
                                <w:b/>
                                <w:color w:val="FFFFFF" w:themeColor="background1"/>
                                <w:sz w:val="48"/>
                                <w14:textFill>
                                  <w14:solidFill>
                                    <w14:schemeClr w14:val="bg1"/>
                                  </w14:solidFill>
                                </w14:textFill>
                              </w:rPr>
                            </w:pPr>
                            <w:r>
                              <w:rPr>
                                <w:rFonts w:hint="eastAsia" w:ascii="宋体" w:hAnsi="宋体"/>
                                <w:b/>
                                <w:color w:val="FFFFFF" w:themeColor="background1"/>
                                <w:sz w:val="48"/>
                                <w14:textFill>
                                  <w14:solidFill>
                                    <w14:schemeClr w14:val="bg1"/>
                                  </w14:solidFill>
                                </w14:textFill>
                              </w:rPr>
                              <w:t>市场测试方案</w:t>
                            </w:r>
                          </w:p>
                          <w:p>
                            <w:pPr>
                              <w:ind w:firstLine="0" w:firstLineChars="0"/>
                              <w:jc w:val="center"/>
                              <w:rPr>
                                <w:rFonts w:ascii="宋体" w:hAnsi="宋体"/>
                                <w:b/>
                                <w:color w:val="FFFFFF" w:themeColor="background1"/>
                                <w:sz w:val="48"/>
                                <w14:textFill>
                                  <w14:solidFill>
                                    <w14:schemeClr w14:val="bg1"/>
                                  </w14:solidFill>
                                </w14:textFill>
                              </w:rPr>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89.25pt;margin-top:50.25pt;height:126.3pt;width:596.25pt;mso-wrap-distance-bottom:3.6pt;mso-wrap-distance-left:9pt;mso-wrap-distance-right:9pt;mso-wrap-distance-top:3.6pt;z-index:251663360;mso-width-relative:page;mso-height-relative:page;" fillcolor="#2F5597" filled="t" stroked="t" coordsize="21600,21600" o:gfxdata="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FKq/n2QAAAA0BAAAP&#10;AAAAAAAAAAEAIAAAACIAAABkcnMvZG93bnJldi54bWxQSwECFAAUAAAACACHTuJACS0/2BcCAAA5&#10;BAAADgAAAAAAAAABACAAAAAoAQAAZHJzL2Uyb0RvYy54bWxQSwUGAAAAAAYABgBZAQAAsQUAAAAA&#10;">
                <v:fill on="t" focussize="0,0"/>
                <v:stroke color="#000000" miterlimit="8" joinstyle="miter"/>
                <v:imagedata o:title=""/>
                <o:lock v:ext="edit" aspectratio="f"/>
                <v:textbox>
                  <w:txbxContent>
                    <w:p>
                      <w:pPr>
                        <w:ind w:firstLine="0" w:firstLineChars="0"/>
                        <w:jc w:val="center"/>
                        <w:rPr>
                          <w:rFonts w:ascii="宋体" w:hAnsi="宋体"/>
                          <w:b/>
                          <w:color w:val="FFFFFF" w:themeColor="background1"/>
                          <w:sz w:val="48"/>
                          <w14:textFill>
                            <w14:solidFill>
                              <w14:schemeClr w14:val="bg1"/>
                            </w14:solidFill>
                          </w14:textFill>
                        </w:rPr>
                      </w:pPr>
                      <w:r>
                        <w:rPr>
                          <w:rFonts w:hint="eastAsia" w:ascii="宋体" w:hAnsi="宋体"/>
                          <w:b/>
                          <w:color w:val="FFFFFF" w:themeColor="background1"/>
                          <w:sz w:val="48"/>
                          <w14:textFill>
                            <w14:solidFill>
                              <w14:schemeClr w14:val="bg1"/>
                            </w14:solidFill>
                          </w14:textFill>
                        </w:rPr>
                        <w:t>河南省平顶山市市本级国家储备林</w:t>
                      </w:r>
                    </w:p>
                    <w:p>
                      <w:pPr>
                        <w:ind w:firstLine="0" w:firstLineChars="0"/>
                        <w:jc w:val="center"/>
                        <w:rPr>
                          <w:rFonts w:ascii="宋体" w:hAnsi="宋体"/>
                          <w:b/>
                          <w:color w:val="FFFFFF" w:themeColor="background1"/>
                          <w:sz w:val="48"/>
                          <w14:textFill>
                            <w14:solidFill>
                              <w14:schemeClr w14:val="bg1"/>
                            </w14:solidFill>
                          </w14:textFill>
                        </w:rPr>
                      </w:pPr>
                      <w:r>
                        <w:rPr>
                          <w:rFonts w:hint="eastAsia" w:ascii="宋体" w:hAnsi="宋体"/>
                          <w:b/>
                          <w:color w:val="FFFFFF" w:themeColor="background1"/>
                          <w:sz w:val="48"/>
                          <w14:textFill>
                            <w14:solidFill>
                              <w14:schemeClr w14:val="bg1"/>
                            </w14:solidFill>
                          </w14:textFill>
                        </w:rPr>
                        <w:t>基地建设PPP项目</w:t>
                      </w:r>
                    </w:p>
                    <w:p>
                      <w:pPr>
                        <w:ind w:firstLine="0" w:firstLineChars="0"/>
                        <w:jc w:val="center"/>
                        <w:rPr>
                          <w:rFonts w:ascii="宋体" w:hAnsi="宋体"/>
                          <w:b/>
                          <w:color w:val="FFFFFF" w:themeColor="background1"/>
                          <w:sz w:val="48"/>
                          <w14:textFill>
                            <w14:solidFill>
                              <w14:schemeClr w14:val="bg1"/>
                            </w14:solidFill>
                          </w14:textFill>
                        </w:rPr>
                      </w:pPr>
                      <w:r>
                        <w:rPr>
                          <w:rFonts w:hint="eastAsia" w:ascii="宋体" w:hAnsi="宋体"/>
                          <w:b/>
                          <w:color w:val="FFFFFF" w:themeColor="background1"/>
                          <w:sz w:val="48"/>
                          <w14:textFill>
                            <w14:solidFill>
                              <w14:schemeClr w14:val="bg1"/>
                            </w14:solidFill>
                          </w14:textFill>
                        </w:rPr>
                        <w:t>市场测试方案</w:t>
                      </w:r>
                    </w:p>
                    <w:p>
                      <w:pPr>
                        <w:ind w:firstLine="0" w:firstLineChars="0"/>
                        <w:jc w:val="center"/>
                        <w:rPr>
                          <w:rFonts w:ascii="宋体" w:hAnsi="宋体"/>
                          <w:b/>
                          <w:color w:val="FFFFFF" w:themeColor="background1"/>
                          <w:sz w:val="48"/>
                          <w14:textFill>
                            <w14:solidFill>
                              <w14:schemeClr w14:val="bg1"/>
                            </w14:solidFill>
                          </w14:textFill>
                        </w:rPr>
                      </w:pPr>
                    </w:p>
                  </w:txbxContent>
                </v:textbox>
                <w10:wrap type="square"/>
              </v:shape>
            </w:pict>
          </mc:Fallback>
        </mc:AlternateContent>
      </w:r>
    </w:p>
    <w:p>
      <w:pPr>
        <w:widowControl/>
        <w:tabs>
          <w:tab w:val="clear" w:pos="3261"/>
          <w:tab w:val="clear" w:pos="4536"/>
        </w:tabs>
        <w:spacing w:line="360" w:lineRule="auto"/>
        <w:ind w:firstLine="567" w:firstLineChars="0"/>
        <w:rPr>
          <w:szCs w:val="22"/>
        </w:rPr>
      </w:pPr>
    </w:p>
    <w:p>
      <w:pPr>
        <w:widowControl/>
        <w:tabs>
          <w:tab w:val="clear" w:pos="3261"/>
          <w:tab w:val="clear" w:pos="4536"/>
        </w:tabs>
        <w:spacing w:line="360" w:lineRule="auto"/>
        <w:ind w:firstLine="567" w:firstLineChars="0"/>
        <w:rPr>
          <w:szCs w:val="22"/>
        </w:rPr>
      </w:pPr>
    </w:p>
    <w:p>
      <w:pPr>
        <w:widowControl/>
        <w:tabs>
          <w:tab w:val="clear" w:pos="3261"/>
          <w:tab w:val="clear" w:pos="4536"/>
        </w:tabs>
        <w:spacing w:line="360" w:lineRule="auto"/>
        <w:ind w:firstLine="567" w:firstLineChars="0"/>
        <w:rPr>
          <w:szCs w:val="22"/>
        </w:rPr>
      </w:pPr>
    </w:p>
    <w:p>
      <w:pPr>
        <w:widowControl/>
        <w:tabs>
          <w:tab w:val="clear" w:pos="3261"/>
          <w:tab w:val="clear" w:pos="4536"/>
        </w:tabs>
        <w:spacing w:before="100" w:beforeAutospacing="1" w:after="100" w:afterAutospacing="1" w:line="360" w:lineRule="auto"/>
        <w:ind w:left="964" w:hanging="964" w:hangingChars="200"/>
        <w:jc w:val="center"/>
        <w:rPr>
          <w:b/>
          <w:kern w:val="0"/>
          <w:sz w:val="48"/>
          <w:szCs w:val="48"/>
        </w:rPr>
      </w:pPr>
    </w:p>
    <w:p>
      <w:pPr>
        <w:widowControl/>
        <w:tabs>
          <w:tab w:val="clear" w:pos="3261"/>
          <w:tab w:val="clear" w:pos="4536"/>
        </w:tabs>
        <w:spacing w:before="100" w:beforeAutospacing="1" w:after="100" w:afterAutospacing="1"/>
        <w:ind w:left="560" w:hanging="560" w:hangingChars="200"/>
        <w:jc w:val="left"/>
        <w:rPr>
          <w:kern w:val="0"/>
        </w:rPr>
      </w:pPr>
    </w:p>
    <w:p>
      <w:pPr>
        <w:widowControl/>
        <w:tabs>
          <w:tab w:val="clear" w:pos="3261"/>
          <w:tab w:val="clear" w:pos="4536"/>
        </w:tabs>
        <w:spacing w:line="360" w:lineRule="auto"/>
        <w:ind w:firstLine="0" w:firstLineChars="0"/>
        <w:jc w:val="center"/>
        <w:rPr>
          <w:szCs w:val="22"/>
        </w:rPr>
      </w:pPr>
    </w:p>
    <w:p>
      <w:pPr>
        <w:widowControl/>
        <w:tabs>
          <w:tab w:val="clear" w:pos="3261"/>
          <w:tab w:val="clear" w:pos="4536"/>
        </w:tabs>
        <w:spacing w:line="360" w:lineRule="auto"/>
        <w:ind w:firstLine="0" w:firstLineChars="0"/>
        <w:jc w:val="center"/>
        <w:rPr>
          <w:szCs w:val="22"/>
        </w:rPr>
      </w:pPr>
    </w:p>
    <w:p>
      <w:pPr>
        <w:widowControl/>
        <w:tabs>
          <w:tab w:val="clear" w:pos="3261"/>
          <w:tab w:val="clear" w:pos="4536"/>
        </w:tabs>
        <w:spacing w:line="360" w:lineRule="auto"/>
        <w:ind w:firstLine="0" w:firstLineChars="0"/>
        <w:jc w:val="center"/>
        <w:rPr>
          <w:b/>
          <w:szCs w:val="22"/>
        </w:rPr>
      </w:pPr>
      <w:r>
        <w:rPr>
          <w:rFonts w:hint="eastAsia"/>
          <w:b/>
          <w:szCs w:val="22"/>
        </w:rPr>
        <w:t>平顶山市林业局</w:t>
      </w:r>
    </w:p>
    <w:p>
      <w:pPr>
        <w:widowControl/>
        <w:tabs>
          <w:tab w:val="clear" w:pos="3261"/>
          <w:tab w:val="clear" w:pos="4536"/>
        </w:tabs>
        <w:spacing w:line="360" w:lineRule="auto"/>
        <w:ind w:firstLine="0" w:firstLineChars="0"/>
        <w:jc w:val="center"/>
        <w:rPr>
          <w:b/>
          <w:sz w:val="32"/>
          <w:szCs w:val="22"/>
        </w:rPr>
      </w:pPr>
      <w:r>
        <w:rPr>
          <w:rFonts w:hint="eastAsia"/>
          <w:b/>
          <w:sz w:val="32"/>
          <w:szCs w:val="22"/>
        </w:rPr>
        <w:t>2</w:t>
      </w:r>
      <w:r>
        <w:rPr>
          <w:b/>
          <w:sz w:val="32"/>
          <w:szCs w:val="22"/>
        </w:rPr>
        <w:t>01</w:t>
      </w:r>
      <w:r>
        <w:rPr>
          <w:rFonts w:hint="eastAsia"/>
          <w:b/>
          <w:sz w:val="32"/>
          <w:szCs w:val="22"/>
        </w:rPr>
        <w:t>9年3月</w:t>
      </w:r>
    </w:p>
    <w:p>
      <w:pPr>
        <w:spacing w:line="360" w:lineRule="auto"/>
        <w:ind w:left="1684" w:leftChars="200" w:hanging="1124" w:hangingChars="400"/>
        <w:jc w:val="left"/>
        <w:rPr>
          <w:b/>
        </w:rPr>
      </w:pPr>
    </w:p>
    <w:p>
      <w:pPr>
        <w:spacing w:line="360" w:lineRule="auto"/>
        <w:ind w:left="1684" w:leftChars="200" w:hanging="1124" w:hangingChars="400"/>
        <w:jc w:val="left"/>
        <w:rPr>
          <w:b/>
        </w:rPr>
      </w:pPr>
    </w:p>
    <w:p>
      <w:pPr>
        <w:spacing w:line="360" w:lineRule="auto"/>
        <w:ind w:left="1684" w:leftChars="200" w:hanging="1124" w:hangingChars="400"/>
        <w:jc w:val="left"/>
        <w:rPr>
          <w:b/>
        </w:rPr>
      </w:pPr>
    </w:p>
    <w:p>
      <w:pPr>
        <w:widowControl/>
        <w:tabs>
          <w:tab w:val="clear" w:pos="3261"/>
          <w:tab w:val="clear" w:pos="4536"/>
        </w:tabs>
        <w:spacing w:line="360" w:lineRule="auto"/>
        <w:ind w:firstLine="284" w:firstLineChars="0"/>
        <w:jc w:val="center"/>
        <w:rPr>
          <w:szCs w:val="2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81" w:charSpace="0"/>
        </w:sectPr>
      </w:pPr>
    </w:p>
    <w:sdt>
      <w:sdtPr>
        <w:rPr>
          <w:rFonts w:ascii="Times New Roman" w:hAnsi="Times New Roman" w:eastAsia="宋体" w:cs="Times New Roman"/>
          <w:color w:val="auto"/>
          <w:kern w:val="2"/>
          <w:sz w:val="28"/>
          <w:szCs w:val="28"/>
          <w:lang w:val="zh-CN"/>
        </w:rPr>
        <w:id w:val="-2062928209"/>
      </w:sdtPr>
      <w:sdtEndPr>
        <w:rPr>
          <w:rFonts w:ascii="Times New Roman" w:hAnsi="Times New Roman" w:eastAsia="宋体" w:cs="Times New Roman"/>
          <w:b/>
          <w:bCs/>
          <w:color w:val="auto"/>
          <w:kern w:val="2"/>
          <w:sz w:val="24"/>
          <w:szCs w:val="24"/>
          <w:lang w:val="zh-CN"/>
        </w:rPr>
      </w:sdtEndPr>
      <w:sdtContent>
        <w:p>
          <w:pPr>
            <w:pStyle w:val="64"/>
            <w:spacing w:line="360" w:lineRule="auto"/>
            <w:jc w:val="center"/>
            <w:rPr>
              <w:rFonts w:ascii="Times New Roman" w:hAnsi="Times New Roman" w:eastAsia="宋体"/>
              <w:color w:val="auto"/>
            </w:rPr>
          </w:pPr>
          <w:r>
            <w:rPr>
              <w:rFonts w:ascii="Times New Roman" w:hAnsi="Times New Roman" w:eastAsia="宋体"/>
              <w:color w:val="auto"/>
              <w:lang w:val="zh-CN"/>
            </w:rPr>
            <w:t>目</w:t>
          </w:r>
          <w:r>
            <w:rPr>
              <w:rFonts w:hint="eastAsia" w:ascii="Times New Roman" w:hAnsi="Times New Roman" w:eastAsia="宋体"/>
              <w:color w:val="auto"/>
              <w:lang w:val="zh-CN"/>
            </w:rPr>
            <w:t xml:space="preserve">  </w:t>
          </w:r>
          <w:r>
            <w:rPr>
              <w:rFonts w:ascii="Times New Roman" w:hAnsi="Times New Roman" w:eastAsia="宋体"/>
              <w:color w:val="auto"/>
              <w:lang w:val="zh-CN"/>
            </w:rPr>
            <w:t>录</w:t>
          </w:r>
        </w:p>
        <w:p>
          <w:pPr>
            <w:pStyle w:val="28"/>
            <w:spacing w:line="240" w:lineRule="auto"/>
            <w:ind w:firstLine="485"/>
            <w:rPr>
              <w:rFonts w:ascii="Times New Roman" w:hAnsiTheme="minorHAnsi" w:eastAsiaTheme="minorEastAsia" w:cstheme="minorBidi"/>
              <w:bCs w:val="0"/>
              <w:caps w:val="0"/>
              <w:sz w:val="21"/>
              <w:szCs w:val="22"/>
            </w:rPr>
          </w:pPr>
          <w:r>
            <w:rPr>
              <w:rFonts w:ascii="Times New Roman"/>
              <w:smallCaps/>
              <w:sz w:val="24"/>
              <w:szCs w:val="24"/>
            </w:rPr>
            <w:fldChar w:fldCharType="begin"/>
          </w:r>
          <w:r>
            <w:rPr>
              <w:rFonts w:ascii="Times New Roman"/>
              <w:sz w:val="24"/>
              <w:szCs w:val="24"/>
            </w:rPr>
            <w:instrText xml:space="preserve"> TOC \o "1-3" \h \z \u </w:instrText>
          </w:r>
          <w:r>
            <w:rPr>
              <w:rFonts w:ascii="Times New Roman"/>
              <w:smallCaps/>
              <w:sz w:val="24"/>
              <w:szCs w:val="24"/>
            </w:rPr>
            <w:fldChar w:fldCharType="separate"/>
          </w:r>
          <w:r>
            <w:fldChar w:fldCharType="begin"/>
          </w:r>
          <w:r>
            <w:instrText xml:space="preserve"> HYPERLINK \l "_Toc3974715" </w:instrText>
          </w:r>
          <w:r>
            <w:fldChar w:fldCharType="separate"/>
          </w:r>
          <w:r>
            <w:rPr>
              <w:rStyle w:val="51"/>
              <w:rFonts w:hint="eastAsia" w:ascii="Times New Roman"/>
            </w:rPr>
            <w:t>一、说明</w:t>
          </w:r>
          <w:r>
            <w:rPr>
              <w:rFonts w:ascii="Times New Roman"/>
            </w:rPr>
            <w:tab/>
          </w:r>
          <w:r>
            <w:rPr>
              <w:rFonts w:ascii="Times New Roman"/>
            </w:rPr>
            <w:fldChar w:fldCharType="begin"/>
          </w:r>
          <w:r>
            <w:rPr>
              <w:rFonts w:ascii="Times New Roman"/>
            </w:rPr>
            <w:instrText xml:space="preserve"> PAGEREF _Toc3974715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8"/>
            <w:spacing w:line="240" w:lineRule="auto"/>
            <w:rPr>
              <w:rFonts w:ascii="Times New Roman" w:hAnsiTheme="minorHAnsi" w:eastAsiaTheme="minorEastAsia" w:cstheme="minorBidi"/>
              <w:bCs w:val="0"/>
              <w:caps w:val="0"/>
              <w:sz w:val="21"/>
              <w:szCs w:val="22"/>
            </w:rPr>
          </w:pPr>
          <w:r>
            <w:fldChar w:fldCharType="begin"/>
          </w:r>
          <w:r>
            <w:instrText xml:space="preserve"> HYPERLINK \l "_Toc3974716" </w:instrText>
          </w:r>
          <w:r>
            <w:fldChar w:fldCharType="separate"/>
          </w:r>
          <w:r>
            <w:rPr>
              <w:rStyle w:val="51"/>
              <w:rFonts w:hint="eastAsia" w:ascii="Times New Roman"/>
            </w:rPr>
            <w:t>二、项目概况</w:t>
          </w:r>
          <w:r>
            <w:rPr>
              <w:rFonts w:ascii="Times New Roman"/>
            </w:rPr>
            <w:tab/>
          </w:r>
          <w:r>
            <w:rPr>
              <w:rFonts w:ascii="Times New Roman"/>
            </w:rPr>
            <w:fldChar w:fldCharType="begin"/>
          </w:r>
          <w:r>
            <w:rPr>
              <w:rFonts w:ascii="Times New Roman"/>
            </w:rPr>
            <w:instrText xml:space="preserve"> PAGEREF _Toc3974716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8"/>
            <w:spacing w:line="240" w:lineRule="auto"/>
            <w:rPr>
              <w:rFonts w:ascii="Times New Roman" w:hAnsiTheme="minorHAnsi" w:eastAsiaTheme="minorEastAsia" w:cstheme="minorBidi"/>
              <w:bCs w:val="0"/>
              <w:caps w:val="0"/>
              <w:sz w:val="21"/>
              <w:szCs w:val="22"/>
            </w:rPr>
          </w:pPr>
          <w:r>
            <w:fldChar w:fldCharType="begin"/>
          </w:r>
          <w:r>
            <w:instrText xml:space="preserve"> HYPERLINK \l "_Toc3974717" </w:instrText>
          </w:r>
          <w:r>
            <w:fldChar w:fldCharType="separate"/>
          </w:r>
          <w:r>
            <w:rPr>
              <w:rStyle w:val="51"/>
              <w:rFonts w:hint="eastAsia" w:ascii="Times New Roman"/>
            </w:rPr>
            <w:t>三、测试内容</w:t>
          </w:r>
          <w:r>
            <w:rPr>
              <w:rFonts w:ascii="Times New Roman"/>
            </w:rPr>
            <w:tab/>
          </w:r>
          <w:r>
            <w:rPr>
              <w:rFonts w:ascii="Times New Roman"/>
            </w:rPr>
            <w:fldChar w:fldCharType="begin"/>
          </w:r>
          <w:r>
            <w:rPr>
              <w:rFonts w:ascii="Times New Roman"/>
            </w:rPr>
            <w:instrText xml:space="preserve"> PAGEREF _Toc3974717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p>
        <w:p>
          <w:pPr>
            <w:pStyle w:val="35"/>
            <w:ind w:firstLine="568"/>
            <w:rPr>
              <w:rFonts w:hAnsiTheme="minorHAnsi" w:eastAsiaTheme="minorEastAsia" w:cstheme="minorBidi"/>
              <w:bCs w:val="0"/>
              <w:smallCaps w:val="0"/>
              <w:sz w:val="21"/>
              <w:szCs w:val="22"/>
            </w:rPr>
          </w:pPr>
          <w:r>
            <w:fldChar w:fldCharType="begin"/>
          </w:r>
          <w:r>
            <w:instrText xml:space="preserve"> HYPERLINK \l "_Toc3974718" </w:instrText>
          </w:r>
          <w:r>
            <w:fldChar w:fldCharType="separate"/>
          </w:r>
          <w:r>
            <w:rPr>
              <w:rStyle w:val="51"/>
            </w:rPr>
            <w:t>1</w:t>
          </w:r>
          <w:r>
            <w:rPr>
              <w:rStyle w:val="51"/>
              <w:rFonts w:hint="eastAsia"/>
            </w:rPr>
            <w:t>、项目投融资结构及项目公司股权结构</w:t>
          </w:r>
          <w:r>
            <w:tab/>
          </w:r>
          <w:r>
            <w:fldChar w:fldCharType="begin"/>
          </w:r>
          <w:r>
            <w:instrText xml:space="preserve"> PAGEREF _Toc3974718 \h </w:instrText>
          </w:r>
          <w:r>
            <w:fldChar w:fldCharType="separate"/>
          </w:r>
          <w:r>
            <w:t>4</w:t>
          </w:r>
          <w:r>
            <w:fldChar w:fldCharType="end"/>
          </w:r>
          <w:r>
            <w:fldChar w:fldCharType="end"/>
          </w:r>
        </w:p>
        <w:p>
          <w:pPr>
            <w:pStyle w:val="35"/>
            <w:ind w:firstLine="568"/>
            <w:rPr>
              <w:rFonts w:hAnsiTheme="minorHAnsi" w:eastAsiaTheme="minorEastAsia" w:cstheme="minorBidi"/>
              <w:bCs w:val="0"/>
              <w:smallCaps w:val="0"/>
              <w:sz w:val="21"/>
              <w:szCs w:val="22"/>
            </w:rPr>
          </w:pPr>
          <w:r>
            <w:fldChar w:fldCharType="begin"/>
          </w:r>
          <w:r>
            <w:instrText xml:space="preserve"> HYPERLINK \l "_Toc3974719" </w:instrText>
          </w:r>
          <w:r>
            <w:fldChar w:fldCharType="separate"/>
          </w:r>
          <w:r>
            <w:rPr>
              <w:rStyle w:val="51"/>
            </w:rPr>
            <w:t>2</w:t>
          </w:r>
          <w:r>
            <w:rPr>
              <w:rStyle w:val="51"/>
              <w:rFonts w:hint="eastAsia"/>
            </w:rPr>
            <w:t>、运作模式</w:t>
          </w:r>
          <w:r>
            <w:tab/>
          </w:r>
          <w:r>
            <w:fldChar w:fldCharType="begin"/>
          </w:r>
          <w:r>
            <w:instrText xml:space="preserve"> PAGEREF _Toc3974719 \h </w:instrText>
          </w:r>
          <w:r>
            <w:fldChar w:fldCharType="separate"/>
          </w:r>
          <w:r>
            <w:t>4</w:t>
          </w:r>
          <w:r>
            <w:fldChar w:fldCharType="end"/>
          </w:r>
          <w:r>
            <w:fldChar w:fldCharType="end"/>
          </w:r>
        </w:p>
        <w:p>
          <w:pPr>
            <w:pStyle w:val="35"/>
            <w:ind w:firstLine="568"/>
            <w:rPr>
              <w:rFonts w:hAnsiTheme="minorHAnsi" w:eastAsiaTheme="minorEastAsia" w:cstheme="minorBidi"/>
              <w:bCs w:val="0"/>
              <w:smallCaps w:val="0"/>
              <w:sz w:val="21"/>
              <w:szCs w:val="22"/>
            </w:rPr>
          </w:pPr>
          <w:r>
            <w:fldChar w:fldCharType="begin"/>
          </w:r>
          <w:r>
            <w:instrText xml:space="preserve"> HYPERLINK \l "_Toc3974720" </w:instrText>
          </w:r>
          <w:r>
            <w:fldChar w:fldCharType="separate"/>
          </w:r>
          <w:r>
            <w:rPr>
              <w:rStyle w:val="51"/>
            </w:rPr>
            <w:t>3</w:t>
          </w:r>
          <w:r>
            <w:rPr>
              <w:rStyle w:val="51"/>
              <w:rFonts w:hint="eastAsia"/>
            </w:rPr>
            <w:t>、项目进入运营期的起点</w:t>
          </w:r>
          <w:r>
            <w:tab/>
          </w:r>
          <w:r>
            <w:fldChar w:fldCharType="begin"/>
          </w:r>
          <w:r>
            <w:instrText xml:space="preserve"> PAGEREF _Toc3974720 \h </w:instrText>
          </w:r>
          <w:r>
            <w:fldChar w:fldCharType="separate"/>
          </w:r>
          <w:r>
            <w:t>4</w:t>
          </w:r>
          <w:r>
            <w:fldChar w:fldCharType="end"/>
          </w:r>
          <w:r>
            <w:fldChar w:fldCharType="end"/>
          </w:r>
        </w:p>
        <w:p>
          <w:pPr>
            <w:pStyle w:val="35"/>
            <w:ind w:firstLine="568"/>
            <w:rPr>
              <w:rFonts w:hAnsiTheme="minorHAnsi" w:eastAsiaTheme="minorEastAsia" w:cstheme="minorBidi"/>
              <w:bCs w:val="0"/>
              <w:smallCaps w:val="0"/>
              <w:sz w:val="21"/>
              <w:szCs w:val="22"/>
            </w:rPr>
          </w:pPr>
          <w:r>
            <w:fldChar w:fldCharType="begin"/>
          </w:r>
          <w:r>
            <w:instrText xml:space="preserve"> HYPERLINK \l "_Toc3974721" </w:instrText>
          </w:r>
          <w:r>
            <w:fldChar w:fldCharType="separate"/>
          </w:r>
          <w:r>
            <w:rPr>
              <w:rStyle w:val="51"/>
            </w:rPr>
            <w:t>4</w:t>
          </w:r>
          <w:r>
            <w:rPr>
              <w:rStyle w:val="51"/>
              <w:rFonts w:hint="eastAsia"/>
            </w:rPr>
            <w:t>、项目土地流转</w:t>
          </w:r>
          <w:r>
            <w:tab/>
          </w:r>
          <w:r>
            <w:fldChar w:fldCharType="begin"/>
          </w:r>
          <w:r>
            <w:instrText xml:space="preserve"> PAGEREF _Toc3974721 \h </w:instrText>
          </w:r>
          <w:r>
            <w:fldChar w:fldCharType="separate"/>
          </w:r>
          <w:r>
            <w:t>4</w:t>
          </w:r>
          <w:r>
            <w:fldChar w:fldCharType="end"/>
          </w:r>
          <w:r>
            <w:fldChar w:fldCharType="end"/>
          </w:r>
        </w:p>
        <w:p>
          <w:pPr>
            <w:pStyle w:val="35"/>
            <w:ind w:firstLine="568"/>
            <w:rPr>
              <w:rFonts w:hAnsiTheme="minorHAnsi" w:eastAsiaTheme="minorEastAsia" w:cstheme="minorBidi"/>
              <w:bCs w:val="0"/>
              <w:smallCaps w:val="0"/>
              <w:sz w:val="21"/>
              <w:szCs w:val="22"/>
            </w:rPr>
          </w:pPr>
          <w:r>
            <w:fldChar w:fldCharType="begin"/>
          </w:r>
          <w:r>
            <w:instrText xml:space="preserve"> HYPERLINK \l "_Toc3974722" </w:instrText>
          </w:r>
          <w:r>
            <w:fldChar w:fldCharType="separate"/>
          </w:r>
          <w:r>
            <w:rPr>
              <w:rStyle w:val="51"/>
            </w:rPr>
            <w:t>5</w:t>
          </w:r>
          <w:r>
            <w:rPr>
              <w:rStyle w:val="51"/>
              <w:rFonts w:hint="eastAsia"/>
            </w:rPr>
            <w:t>、项目融资交割</w:t>
          </w:r>
          <w:r>
            <w:tab/>
          </w:r>
          <w:r>
            <w:fldChar w:fldCharType="begin"/>
          </w:r>
          <w:r>
            <w:instrText xml:space="preserve"> PAGEREF _Toc3974722 \h </w:instrText>
          </w:r>
          <w:r>
            <w:fldChar w:fldCharType="separate"/>
          </w:r>
          <w:r>
            <w:t>6</w:t>
          </w:r>
          <w:r>
            <w:fldChar w:fldCharType="end"/>
          </w:r>
          <w:r>
            <w:fldChar w:fldCharType="end"/>
          </w:r>
        </w:p>
        <w:p>
          <w:pPr>
            <w:pStyle w:val="35"/>
            <w:ind w:firstLine="568"/>
            <w:rPr>
              <w:rFonts w:hAnsiTheme="minorHAnsi" w:eastAsiaTheme="minorEastAsia" w:cstheme="minorBidi"/>
              <w:bCs w:val="0"/>
              <w:smallCaps w:val="0"/>
              <w:sz w:val="21"/>
              <w:szCs w:val="22"/>
            </w:rPr>
          </w:pPr>
          <w:r>
            <w:fldChar w:fldCharType="begin"/>
          </w:r>
          <w:r>
            <w:instrText xml:space="preserve"> HYPERLINK \l "_Toc3974723" </w:instrText>
          </w:r>
          <w:r>
            <w:fldChar w:fldCharType="separate"/>
          </w:r>
          <w:r>
            <w:rPr>
              <w:rStyle w:val="51"/>
            </w:rPr>
            <w:t>6</w:t>
          </w:r>
          <w:r>
            <w:rPr>
              <w:rStyle w:val="51"/>
              <w:rFonts w:hint="eastAsia"/>
            </w:rPr>
            <w:t>、回报机制</w:t>
          </w:r>
          <w:r>
            <w:tab/>
          </w:r>
          <w:r>
            <w:fldChar w:fldCharType="begin"/>
          </w:r>
          <w:r>
            <w:instrText xml:space="preserve"> PAGEREF _Toc3974723 \h </w:instrText>
          </w:r>
          <w:r>
            <w:fldChar w:fldCharType="separate"/>
          </w:r>
          <w:r>
            <w:t>6</w:t>
          </w:r>
          <w:r>
            <w:fldChar w:fldCharType="end"/>
          </w:r>
          <w:r>
            <w:fldChar w:fldCharType="end"/>
          </w:r>
        </w:p>
        <w:p>
          <w:pPr>
            <w:pStyle w:val="35"/>
            <w:ind w:firstLine="568"/>
            <w:rPr>
              <w:rFonts w:hAnsiTheme="minorHAnsi" w:eastAsiaTheme="minorEastAsia" w:cstheme="minorBidi"/>
              <w:bCs w:val="0"/>
              <w:smallCaps w:val="0"/>
              <w:sz w:val="21"/>
              <w:szCs w:val="22"/>
            </w:rPr>
          </w:pPr>
          <w:r>
            <w:fldChar w:fldCharType="begin"/>
          </w:r>
          <w:r>
            <w:instrText xml:space="preserve"> HYPERLINK \l "_Toc3974724" </w:instrText>
          </w:r>
          <w:r>
            <w:fldChar w:fldCharType="separate"/>
          </w:r>
          <w:r>
            <w:rPr>
              <w:rStyle w:val="51"/>
            </w:rPr>
            <w:t>7</w:t>
          </w:r>
          <w:r>
            <w:rPr>
              <w:rStyle w:val="51"/>
              <w:rFonts w:hint="eastAsia"/>
            </w:rPr>
            <w:t>、项目可行性缺口补助费用计算及支付</w:t>
          </w:r>
          <w:r>
            <w:tab/>
          </w:r>
          <w:r>
            <w:fldChar w:fldCharType="begin"/>
          </w:r>
          <w:r>
            <w:instrText xml:space="preserve"> PAGEREF _Toc3974724 \h </w:instrText>
          </w:r>
          <w:r>
            <w:fldChar w:fldCharType="separate"/>
          </w:r>
          <w:r>
            <w:t>19</w:t>
          </w:r>
          <w:r>
            <w:fldChar w:fldCharType="end"/>
          </w:r>
          <w:r>
            <w:fldChar w:fldCharType="end"/>
          </w:r>
        </w:p>
        <w:p>
          <w:pPr>
            <w:pStyle w:val="35"/>
            <w:ind w:firstLine="568"/>
            <w:rPr>
              <w:rFonts w:hAnsiTheme="minorHAnsi" w:eastAsiaTheme="minorEastAsia" w:cstheme="minorBidi"/>
              <w:bCs w:val="0"/>
              <w:smallCaps w:val="0"/>
              <w:sz w:val="21"/>
              <w:szCs w:val="22"/>
            </w:rPr>
          </w:pPr>
          <w:r>
            <w:fldChar w:fldCharType="begin"/>
          </w:r>
          <w:r>
            <w:instrText xml:space="preserve"> HYPERLINK \l "_Toc3974725" </w:instrText>
          </w:r>
          <w:r>
            <w:fldChar w:fldCharType="separate"/>
          </w:r>
          <w:r>
            <w:rPr>
              <w:rStyle w:val="51"/>
            </w:rPr>
            <w:t>8</w:t>
          </w:r>
          <w:r>
            <w:rPr>
              <w:rStyle w:val="51"/>
              <w:rFonts w:hint="eastAsia"/>
            </w:rPr>
            <w:t>、合作期内的上级专项补贴</w:t>
          </w:r>
          <w:r>
            <w:rPr>
              <w:rStyle w:val="51"/>
            </w:rPr>
            <w:t>/</w:t>
          </w:r>
          <w:r>
            <w:rPr>
              <w:rStyle w:val="51"/>
              <w:rFonts w:hint="eastAsia"/>
            </w:rPr>
            <w:t>补助资金</w:t>
          </w:r>
          <w:r>
            <w:tab/>
          </w:r>
          <w:r>
            <w:fldChar w:fldCharType="begin"/>
          </w:r>
          <w:r>
            <w:instrText xml:space="preserve"> PAGEREF _Toc3974725 \h </w:instrText>
          </w:r>
          <w:r>
            <w:fldChar w:fldCharType="separate"/>
          </w:r>
          <w:r>
            <w:t>20</w:t>
          </w:r>
          <w:r>
            <w:fldChar w:fldCharType="end"/>
          </w:r>
          <w:r>
            <w:fldChar w:fldCharType="end"/>
          </w:r>
        </w:p>
        <w:p>
          <w:pPr>
            <w:pStyle w:val="35"/>
            <w:ind w:firstLine="568"/>
            <w:rPr>
              <w:rFonts w:hAnsiTheme="minorHAnsi" w:eastAsiaTheme="minorEastAsia" w:cstheme="minorBidi"/>
              <w:bCs w:val="0"/>
              <w:smallCaps w:val="0"/>
              <w:sz w:val="21"/>
              <w:szCs w:val="22"/>
            </w:rPr>
          </w:pPr>
          <w:r>
            <w:fldChar w:fldCharType="begin"/>
          </w:r>
          <w:r>
            <w:instrText xml:space="preserve"> HYPERLINK \l "_Toc3974726" </w:instrText>
          </w:r>
          <w:r>
            <w:fldChar w:fldCharType="separate"/>
          </w:r>
          <w:r>
            <w:rPr>
              <w:rStyle w:val="51"/>
            </w:rPr>
            <w:t>9</w:t>
          </w:r>
          <w:r>
            <w:rPr>
              <w:rStyle w:val="51"/>
              <w:rFonts w:hint="eastAsia"/>
            </w:rPr>
            <w:t>、调价机制</w:t>
          </w:r>
          <w:r>
            <w:tab/>
          </w:r>
          <w:r>
            <w:fldChar w:fldCharType="begin"/>
          </w:r>
          <w:r>
            <w:instrText xml:space="preserve"> PAGEREF _Toc3974726 \h </w:instrText>
          </w:r>
          <w:r>
            <w:fldChar w:fldCharType="separate"/>
          </w:r>
          <w:r>
            <w:t>22</w:t>
          </w:r>
          <w:r>
            <w:fldChar w:fldCharType="end"/>
          </w:r>
          <w:r>
            <w:fldChar w:fldCharType="end"/>
          </w:r>
        </w:p>
        <w:p>
          <w:pPr>
            <w:pStyle w:val="35"/>
            <w:ind w:firstLine="568"/>
            <w:rPr>
              <w:rFonts w:hAnsiTheme="minorHAnsi" w:eastAsiaTheme="minorEastAsia" w:cstheme="minorBidi"/>
              <w:bCs w:val="0"/>
              <w:smallCaps w:val="0"/>
              <w:sz w:val="21"/>
              <w:szCs w:val="22"/>
            </w:rPr>
          </w:pPr>
          <w:r>
            <w:fldChar w:fldCharType="begin"/>
          </w:r>
          <w:r>
            <w:instrText xml:space="preserve"> HYPERLINK \l "_Toc3974727" </w:instrText>
          </w:r>
          <w:r>
            <w:fldChar w:fldCharType="separate"/>
          </w:r>
          <w:r>
            <w:rPr>
              <w:rStyle w:val="51"/>
            </w:rPr>
            <w:t>10</w:t>
          </w:r>
          <w:r>
            <w:rPr>
              <w:rStyle w:val="51"/>
              <w:rFonts w:hint="eastAsia"/>
            </w:rPr>
            <w:t>、超额收益分配机制</w:t>
          </w:r>
          <w:r>
            <w:tab/>
          </w:r>
          <w:r>
            <w:fldChar w:fldCharType="begin"/>
          </w:r>
          <w:r>
            <w:instrText xml:space="preserve"> PAGEREF _Toc3974727 \h </w:instrText>
          </w:r>
          <w:r>
            <w:fldChar w:fldCharType="separate"/>
          </w:r>
          <w:r>
            <w:t>23</w:t>
          </w:r>
          <w:r>
            <w:fldChar w:fldCharType="end"/>
          </w:r>
          <w:r>
            <w:fldChar w:fldCharType="end"/>
          </w:r>
        </w:p>
        <w:p>
          <w:pPr>
            <w:pStyle w:val="35"/>
            <w:ind w:firstLine="568"/>
            <w:rPr>
              <w:rFonts w:hAnsiTheme="minorHAnsi" w:eastAsiaTheme="minorEastAsia" w:cstheme="minorBidi"/>
              <w:bCs w:val="0"/>
              <w:smallCaps w:val="0"/>
              <w:sz w:val="21"/>
              <w:szCs w:val="22"/>
            </w:rPr>
          </w:pPr>
          <w:r>
            <w:fldChar w:fldCharType="begin"/>
          </w:r>
          <w:r>
            <w:instrText xml:space="preserve"> HYPERLINK \l "_Toc3974728" </w:instrText>
          </w:r>
          <w:r>
            <w:fldChar w:fldCharType="separate"/>
          </w:r>
          <w:r>
            <w:rPr>
              <w:rStyle w:val="51"/>
            </w:rPr>
            <w:t>11</w:t>
          </w:r>
          <w:r>
            <w:rPr>
              <w:rStyle w:val="51"/>
              <w:rFonts w:hint="eastAsia"/>
            </w:rPr>
            <w:t>、项目绩效考核</w:t>
          </w:r>
          <w:r>
            <w:tab/>
          </w:r>
          <w:r>
            <w:fldChar w:fldCharType="begin"/>
          </w:r>
          <w:r>
            <w:instrText xml:space="preserve"> PAGEREF _Toc3974728 \h </w:instrText>
          </w:r>
          <w:r>
            <w:fldChar w:fldCharType="separate"/>
          </w:r>
          <w:r>
            <w:t>24</w:t>
          </w:r>
          <w:r>
            <w:fldChar w:fldCharType="end"/>
          </w:r>
          <w:r>
            <w:fldChar w:fldCharType="end"/>
          </w:r>
        </w:p>
        <w:p>
          <w:pPr>
            <w:pStyle w:val="35"/>
            <w:ind w:firstLine="568"/>
            <w:rPr>
              <w:rFonts w:hAnsiTheme="minorHAnsi" w:eastAsiaTheme="minorEastAsia" w:cstheme="minorBidi"/>
              <w:bCs w:val="0"/>
              <w:smallCaps w:val="0"/>
              <w:sz w:val="21"/>
              <w:szCs w:val="22"/>
            </w:rPr>
          </w:pPr>
          <w:r>
            <w:fldChar w:fldCharType="begin"/>
          </w:r>
          <w:r>
            <w:instrText xml:space="preserve"> HYPERLINK \l "_Toc3974729" </w:instrText>
          </w:r>
          <w:r>
            <w:fldChar w:fldCharType="separate"/>
          </w:r>
          <w:r>
            <w:rPr>
              <w:rStyle w:val="51"/>
            </w:rPr>
            <w:t>12</w:t>
          </w:r>
          <w:r>
            <w:rPr>
              <w:rStyle w:val="51"/>
              <w:rFonts w:hint="eastAsia"/>
            </w:rPr>
            <w:t>、履约保障</w:t>
          </w:r>
          <w:r>
            <w:tab/>
          </w:r>
          <w:r>
            <w:fldChar w:fldCharType="begin"/>
          </w:r>
          <w:r>
            <w:instrText xml:space="preserve"> PAGEREF _Toc3974729 \h </w:instrText>
          </w:r>
          <w:r>
            <w:fldChar w:fldCharType="separate"/>
          </w:r>
          <w:r>
            <w:t>34</w:t>
          </w:r>
          <w:r>
            <w:fldChar w:fldCharType="end"/>
          </w:r>
          <w:r>
            <w:fldChar w:fldCharType="end"/>
          </w:r>
        </w:p>
        <w:p>
          <w:pPr>
            <w:pStyle w:val="35"/>
            <w:ind w:firstLine="568"/>
            <w:rPr>
              <w:rFonts w:hAnsiTheme="minorHAnsi" w:eastAsiaTheme="minorEastAsia" w:cstheme="minorBidi"/>
              <w:bCs w:val="0"/>
              <w:smallCaps w:val="0"/>
              <w:sz w:val="21"/>
              <w:szCs w:val="22"/>
            </w:rPr>
          </w:pPr>
          <w:r>
            <w:fldChar w:fldCharType="begin"/>
          </w:r>
          <w:r>
            <w:instrText xml:space="preserve"> HYPERLINK \l "_Toc3974730" </w:instrText>
          </w:r>
          <w:r>
            <w:fldChar w:fldCharType="separate"/>
          </w:r>
          <w:r>
            <w:rPr>
              <w:rStyle w:val="51"/>
            </w:rPr>
            <w:t>13</w:t>
          </w:r>
          <w:r>
            <w:rPr>
              <w:rStyle w:val="51"/>
              <w:rFonts w:hint="eastAsia"/>
            </w:rPr>
            <w:t>、报价指标</w:t>
          </w:r>
          <w:r>
            <w:tab/>
          </w:r>
          <w:r>
            <w:fldChar w:fldCharType="begin"/>
          </w:r>
          <w:r>
            <w:instrText xml:space="preserve"> PAGEREF _Toc3974730 \h </w:instrText>
          </w:r>
          <w:r>
            <w:fldChar w:fldCharType="separate"/>
          </w:r>
          <w:r>
            <w:t>34</w:t>
          </w:r>
          <w:r>
            <w:fldChar w:fldCharType="end"/>
          </w:r>
          <w:r>
            <w:fldChar w:fldCharType="end"/>
          </w:r>
        </w:p>
        <w:p>
          <w:pPr>
            <w:pStyle w:val="28"/>
            <w:spacing w:line="240" w:lineRule="auto"/>
            <w:rPr>
              <w:rFonts w:asciiTheme="minorHAnsi" w:hAnsiTheme="minorHAnsi" w:eastAsiaTheme="minorEastAsia" w:cstheme="minorBidi"/>
              <w:bCs w:val="0"/>
              <w:caps w:val="0"/>
              <w:sz w:val="21"/>
              <w:szCs w:val="22"/>
            </w:rPr>
          </w:pPr>
          <w:r>
            <w:fldChar w:fldCharType="begin"/>
          </w:r>
          <w:r>
            <w:instrText xml:space="preserve"> HYPERLINK \l "_Toc3974731" </w:instrText>
          </w:r>
          <w:r>
            <w:fldChar w:fldCharType="separate"/>
          </w:r>
          <w:r>
            <w:rPr>
              <w:rStyle w:val="51"/>
              <w:rFonts w:hint="eastAsia" w:ascii="Times New Roman"/>
            </w:rPr>
            <w:t>四、测试反馈意见表</w:t>
          </w:r>
          <w:r>
            <w:rPr>
              <w:rFonts w:ascii="Times New Roman"/>
            </w:rPr>
            <w:tab/>
          </w:r>
          <w:r>
            <w:rPr>
              <w:rFonts w:ascii="Times New Roman"/>
            </w:rPr>
            <w:fldChar w:fldCharType="begin"/>
          </w:r>
          <w:r>
            <w:rPr>
              <w:rFonts w:ascii="Times New Roman"/>
            </w:rPr>
            <w:instrText xml:space="preserve"> PAGEREF _Toc3974731 \h </w:instrText>
          </w:r>
          <w:r>
            <w:rPr>
              <w:rFonts w:ascii="Times New Roman"/>
            </w:rPr>
            <w:fldChar w:fldCharType="separate"/>
          </w:r>
          <w:r>
            <w:rPr>
              <w:rFonts w:ascii="Times New Roman"/>
            </w:rPr>
            <w:t>36</w:t>
          </w:r>
          <w:r>
            <w:rPr>
              <w:rFonts w:ascii="Times New Roman"/>
            </w:rPr>
            <w:fldChar w:fldCharType="end"/>
          </w:r>
          <w:r>
            <w:rPr>
              <w:rFonts w:ascii="Times New Roman"/>
            </w:rPr>
            <w:fldChar w:fldCharType="end"/>
          </w:r>
        </w:p>
        <w:p>
          <w:pPr>
            <w:spacing w:line="360" w:lineRule="auto"/>
            <w:ind w:firstLine="485"/>
            <w:rPr>
              <w:sz w:val="24"/>
              <w:szCs w:val="24"/>
            </w:rPr>
          </w:pPr>
          <w:r>
            <w:rPr>
              <w:bCs/>
              <w:sz w:val="24"/>
              <w:szCs w:val="24"/>
              <w:lang w:val="zh-CN"/>
            </w:rPr>
            <w:fldChar w:fldCharType="end"/>
          </w:r>
        </w:p>
      </w:sdtContent>
    </w:sdt>
    <w:p>
      <w:pPr>
        <w:spacing w:line="360" w:lineRule="auto"/>
        <w:ind w:firstLine="0" w:firstLineChars="0"/>
        <w:rPr>
          <w:b/>
        </w:rPr>
        <w:sectPr>
          <w:headerReference r:id="rId9" w:type="default"/>
          <w:pgSz w:w="11906" w:h="16838"/>
          <w:pgMar w:top="1440" w:right="1800" w:bottom="1440" w:left="1800" w:header="1020" w:footer="850" w:gutter="0"/>
          <w:cols w:space="425" w:num="1"/>
          <w:docGrid w:type="lines" w:linePitch="312" w:charSpace="0"/>
        </w:sectPr>
      </w:pPr>
    </w:p>
    <w:p>
      <w:pPr>
        <w:pStyle w:val="2"/>
        <w:rPr>
          <w:color w:val="000000" w:themeColor="text1"/>
          <w14:textFill>
            <w14:solidFill>
              <w14:schemeClr w14:val="tx1"/>
            </w14:solidFill>
          </w14:textFill>
        </w:rPr>
      </w:pPr>
      <w:bookmarkStart w:id="0" w:name="_Toc3974715"/>
      <w:bookmarkStart w:id="1" w:name="_Toc461166522"/>
      <w:bookmarkStart w:id="2" w:name="_Toc464972425"/>
      <w:bookmarkStart w:id="3" w:name="_Toc461166478"/>
      <w:r>
        <w:rPr>
          <w:rFonts w:hint="eastAsia"/>
          <w:color w:val="000000" w:themeColor="text1"/>
          <w14:textFill>
            <w14:solidFill>
              <w14:schemeClr w14:val="tx1"/>
            </w14:solidFill>
          </w14:textFill>
        </w:rPr>
        <w:t>一、说明</w:t>
      </w:r>
      <w:bookmarkEnd w:id="0"/>
    </w:p>
    <w:p>
      <w:pPr>
        <w:tabs>
          <w:tab w:val="clear" w:pos="3261"/>
          <w:tab w:val="clear" w:pos="4536"/>
        </w:tabs>
        <w:ind w:firstLine="560" w:firstLineChars="200"/>
      </w:pPr>
      <w:bookmarkStart w:id="4" w:name="_Toc501964927"/>
      <w:bookmarkStart w:id="5" w:name="_Toc464819827"/>
      <w:bookmarkStart w:id="6" w:name="_Toc461111847"/>
      <w:bookmarkStart w:id="7" w:name="_Toc464972420"/>
      <w:bookmarkStart w:id="8" w:name="_Toc502013794"/>
      <w:bookmarkStart w:id="9" w:name="_Toc465668336"/>
      <w:bookmarkStart w:id="10" w:name="_Toc490097704"/>
      <w:bookmarkStart w:id="11" w:name="_Toc474766472"/>
      <w:r>
        <w:rPr>
          <w:rFonts w:hint="eastAsia"/>
        </w:rPr>
        <w:t>河南省平顶山市市本级国家储备林基地建设项目采用政府和社会资本合作（PPP）模式实施，项目实施机构为平顶山市林业局。</w:t>
      </w:r>
    </w:p>
    <w:p>
      <w:pPr>
        <w:tabs>
          <w:tab w:val="clear" w:pos="3261"/>
          <w:tab w:val="clear" w:pos="4536"/>
        </w:tabs>
        <w:ind w:firstLine="560" w:firstLineChars="200"/>
      </w:pPr>
      <w:r>
        <w:rPr>
          <w:rFonts w:hint="eastAsia"/>
        </w:rPr>
        <w:t>为进一步加快本项目的实施进度，保证项目后续能够获得社会资本的充分响应，</w:t>
      </w:r>
      <w:r>
        <w:t>现邀请潜在社会资本参与测试，并将本次市场测试涉及的有关事项</w:t>
      </w:r>
      <w:r>
        <w:rPr>
          <w:rFonts w:hint="eastAsia"/>
        </w:rPr>
        <w:t>说明</w:t>
      </w:r>
      <w:r>
        <w:t>如下：</w:t>
      </w:r>
    </w:p>
    <w:p>
      <w:pPr>
        <w:tabs>
          <w:tab w:val="clear" w:pos="3261"/>
          <w:tab w:val="clear" w:pos="4536"/>
        </w:tabs>
        <w:ind w:firstLine="560" w:firstLineChars="200"/>
      </w:pPr>
      <w:r>
        <w:rPr>
          <w:rFonts w:hint="eastAsia"/>
        </w:rPr>
        <w:t>1.本次市场测试并非项目正式采购程序的组成部分，本次市场测试提供的方案信息仍可能进一步修改，对各方并不具有约束力；</w:t>
      </w:r>
    </w:p>
    <w:p>
      <w:pPr>
        <w:tabs>
          <w:tab w:val="clear" w:pos="3261"/>
          <w:tab w:val="clear" w:pos="4536"/>
        </w:tabs>
        <w:ind w:firstLine="560" w:firstLineChars="200"/>
      </w:pPr>
      <w:r>
        <w:rPr>
          <w:rFonts w:hint="eastAsia"/>
        </w:rPr>
        <w:t>2.本次市场测试邀请潜在社会资本参与，即使不参加市场测试的社会资本仍然有资格参与河南省平顶山市市本级国家储备林基地建设PPP项目的正式采购程序；</w:t>
      </w:r>
    </w:p>
    <w:p>
      <w:pPr>
        <w:tabs>
          <w:tab w:val="clear" w:pos="3261"/>
          <w:tab w:val="clear" w:pos="4536"/>
        </w:tabs>
        <w:ind w:firstLine="560" w:firstLineChars="200"/>
      </w:pPr>
      <w:r>
        <w:rPr>
          <w:rFonts w:hint="eastAsia"/>
        </w:rPr>
        <w:t>3.参与本次市场测试的社会资本并不会因此在河南省平顶山市市本级国家储备林基地建设PPP项目正式采购程序中得到特别的优待；</w:t>
      </w:r>
    </w:p>
    <w:p>
      <w:pPr>
        <w:tabs>
          <w:tab w:val="clear" w:pos="3261"/>
          <w:tab w:val="clear" w:pos="4536"/>
        </w:tabs>
        <w:ind w:firstLine="560" w:firstLineChars="200"/>
      </w:pPr>
      <w:r>
        <w:rPr>
          <w:rFonts w:hint="eastAsia"/>
        </w:rPr>
        <w:t>4.潜在社会资本不会因参与市场测试中提出的问题而遭到政府方的歧视；请潜在社会资本充分表达推进项目实施的良好建议。</w:t>
      </w:r>
    </w:p>
    <w:p>
      <w:pPr>
        <w:tabs>
          <w:tab w:val="clear" w:pos="3261"/>
          <w:tab w:val="clear" w:pos="4536"/>
        </w:tabs>
        <w:ind w:firstLine="560" w:firstLineChars="200"/>
      </w:pPr>
      <w:r>
        <w:rPr>
          <w:rFonts w:hint="eastAsia"/>
        </w:rPr>
        <w:t>请潜在社会资本于2019年xxx月xxx日上午xxx之前以PDF格式将相关测试内容意见及建议发送至下列指定邮箱：</w:t>
      </w:r>
    </w:p>
    <w:p>
      <w:pPr>
        <w:tabs>
          <w:tab w:val="clear" w:pos="3261"/>
          <w:tab w:val="clear" w:pos="4536"/>
        </w:tabs>
        <w:ind w:firstLine="560" w:firstLineChars="200"/>
        <w:rPr>
          <w:rFonts w:hint="eastAsia" w:eastAsia="宋体"/>
          <w:lang w:val="en-US" w:eastAsia="zh-CN"/>
        </w:rPr>
      </w:pPr>
      <w:r>
        <w:rPr>
          <w:rFonts w:hint="eastAsia"/>
        </w:rPr>
        <w:t>联系人：</w:t>
      </w:r>
      <w:r>
        <w:rPr>
          <w:rFonts w:hint="eastAsia"/>
          <w:lang w:eastAsia="zh-CN"/>
        </w:rPr>
        <w:t>周毓东</w:t>
      </w:r>
    </w:p>
    <w:p>
      <w:pPr>
        <w:tabs>
          <w:tab w:val="clear" w:pos="3261"/>
          <w:tab w:val="clear" w:pos="4536"/>
        </w:tabs>
        <w:ind w:firstLine="560" w:firstLineChars="200"/>
        <w:rPr>
          <w:rFonts w:hint="default" w:eastAsia="宋体"/>
          <w:lang w:val="en-US" w:eastAsia="zh-CN"/>
        </w:rPr>
      </w:pPr>
      <w:r>
        <w:rPr>
          <w:rFonts w:hint="eastAsia"/>
        </w:rPr>
        <w:t>联系手机：</w:t>
      </w:r>
      <w:r>
        <w:rPr>
          <w:rFonts w:hint="eastAsia"/>
          <w:lang w:val="en-US" w:eastAsia="zh-CN"/>
        </w:rPr>
        <w:t>13343753153</w:t>
      </w:r>
    </w:p>
    <w:p>
      <w:pPr>
        <w:tabs>
          <w:tab w:val="clear" w:pos="3261"/>
          <w:tab w:val="clear" w:pos="4536"/>
        </w:tabs>
        <w:ind w:firstLine="560" w:firstLineChars="200"/>
        <w:rPr>
          <w:rFonts w:hint="default" w:eastAsia="宋体"/>
          <w:lang w:val="en-US" w:eastAsia="zh-CN"/>
        </w:rPr>
      </w:pPr>
      <w:r>
        <w:rPr>
          <w:rFonts w:hint="eastAsia"/>
        </w:rPr>
        <w:t>联系邮箱：</w:t>
      </w:r>
      <w:r>
        <w:rPr>
          <w:rFonts w:hint="eastAsia"/>
          <w:lang w:val="en-US" w:eastAsia="zh-CN"/>
        </w:rPr>
        <w:t>yuydzhou1216@126.com</w:t>
      </w:r>
    </w:p>
    <w:p>
      <w:pPr>
        <w:tabs>
          <w:tab w:val="clear" w:pos="3261"/>
          <w:tab w:val="clear" w:pos="4536"/>
        </w:tabs>
        <w:ind w:firstLine="560" w:firstLineChars="200"/>
        <w:jc w:val="center"/>
      </w:pPr>
      <w:r>
        <w:rPr>
          <w:rFonts w:hint="eastAsia"/>
          <w:lang w:val="en-US" w:eastAsia="zh-CN"/>
        </w:rPr>
        <w:t xml:space="preserve">                                </w:t>
      </w:r>
      <w:r>
        <w:rPr>
          <w:rFonts w:hint="eastAsia"/>
        </w:rPr>
        <w:t>平顶山市林业局</w:t>
      </w:r>
    </w:p>
    <w:p>
      <w:pPr>
        <w:tabs>
          <w:tab w:val="clear" w:pos="3261"/>
          <w:tab w:val="clear" w:pos="4536"/>
        </w:tabs>
        <w:ind w:firstLine="560" w:firstLineChars="200"/>
        <w:jc w:val="center"/>
      </w:pPr>
      <w:r>
        <w:rPr>
          <w:rFonts w:hint="eastAsia"/>
          <w:lang w:val="en-US" w:eastAsia="zh-CN"/>
        </w:rPr>
        <w:t xml:space="preserve">                                </w:t>
      </w:r>
      <w:bookmarkStart w:id="32" w:name="_GoBack"/>
      <w:bookmarkEnd w:id="32"/>
      <w:r>
        <w:rPr>
          <w:rFonts w:hint="eastAsia"/>
        </w:rPr>
        <w:t>2019年</w:t>
      </w:r>
      <w:r>
        <w:rPr>
          <w:rFonts w:hint="eastAsia"/>
          <w:lang w:val="en-US" w:eastAsia="zh-CN"/>
        </w:rPr>
        <w:t>3</w:t>
      </w:r>
      <w:r>
        <w:rPr>
          <w:rFonts w:hint="eastAsia"/>
        </w:rPr>
        <w:t>月</w:t>
      </w:r>
      <w:r>
        <w:rPr>
          <w:rFonts w:hint="eastAsia"/>
          <w:lang w:val="en-US" w:eastAsia="zh-CN"/>
        </w:rPr>
        <w:t>28</w:t>
      </w:r>
      <w:r>
        <w:rPr>
          <w:rFonts w:hint="eastAsia"/>
        </w:rPr>
        <w:t>日</w:t>
      </w:r>
    </w:p>
    <w:bookmarkEnd w:id="4"/>
    <w:bookmarkEnd w:id="5"/>
    <w:bookmarkEnd w:id="6"/>
    <w:bookmarkEnd w:id="7"/>
    <w:bookmarkEnd w:id="8"/>
    <w:p>
      <w:pPr>
        <w:widowControl/>
        <w:tabs>
          <w:tab w:val="clear" w:pos="3261"/>
          <w:tab w:val="clear" w:pos="4536"/>
        </w:tabs>
        <w:spacing w:line="360" w:lineRule="auto"/>
        <w:ind w:firstLine="567" w:firstLineChars="0"/>
        <w:rPr>
          <w:color w:val="000000" w:themeColor="text1"/>
          <w:szCs w:val="22"/>
          <w14:textFill>
            <w14:solidFill>
              <w14:schemeClr w14:val="tx1"/>
            </w14:solidFill>
          </w14:textFill>
        </w:rPr>
        <w:sectPr>
          <w:footerReference r:id="rId10" w:type="default"/>
          <w:pgSz w:w="11906" w:h="16838"/>
          <w:pgMar w:top="1440" w:right="1344" w:bottom="1440" w:left="1457" w:header="1021" w:footer="850" w:gutter="0"/>
          <w:paperSrc/>
          <w:pgNumType w:start="1"/>
          <w:cols w:space="0" w:num="1"/>
          <w:rtlGutter w:val="0"/>
          <w:docGrid w:type="lines" w:linePitch="312" w:charSpace="0"/>
        </w:sectPr>
      </w:pPr>
    </w:p>
    <w:p>
      <w:pPr>
        <w:pStyle w:val="2"/>
        <w:rPr>
          <w:color w:val="000000" w:themeColor="text1"/>
          <w14:textFill>
            <w14:solidFill>
              <w14:schemeClr w14:val="tx1"/>
            </w14:solidFill>
          </w14:textFill>
        </w:rPr>
      </w:pPr>
      <w:bookmarkStart w:id="12" w:name="_Toc3974716"/>
      <w:r>
        <w:rPr>
          <w:rFonts w:hint="eastAsia"/>
          <w:color w:val="000000" w:themeColor="text1"/>
          <w14:textFill>
            <w14:solidFill>
              <w14:schemeClr w14:val="tx1"/>
            </w14:solidFill>
          </w14:textFill>
        </w:rPr>
        <w:t>二、项目概况</w:t>
      </w:r>
      <w:bookmarkEnd w:id="12"/>
    </w:p>
    <w:p>
      <w:pPr>
        <w:ind w:firstLine="562" w:firstLineChars="200"/>
        <w:rPr>
          <w:color w:val="000000" w:themeColor="text1"/>
          <w14:textFill>
            <w14:solidFill>
              <w14:schemeClr w14:val="tx1"/>
            </w14:solidFill>
          </w14:textFill>
        </w:rPr>
      </w:pPr>
      <w:r>
        <w:rPr>
          <w:rFonts w:hint="eastAsia"/>
          <w:b/>
          <w:color w:val="000000" w:themeColor="text1"/>
          <w14:textFill>
            <w14:solidFill>
              <w14:schemeClr w14:val="tx1"/>
            </w14:solidFill>
          </w14:textFill>
        </w:rPr>
        <w:t>1、项目名称：</w:t>
      </w:r>
      <w:r>
        <w:rPr>
          <w:rFonts w:hint="eastAsia"/>
          <w:color w:val="000000" w:themeColor="text1"/>
          <w14:textFill>
            <w14:solidFill>
              <w14:schemeClr w14:val="tx1"/>
            </w14:solidFill>
          </w14:textFill>
        </w:rPr>
        <w:t>河南省平顶山市市本级国家储备林基地建设PPP项目</w:t>
      </w:r>
    </w:p>
    <w:p>
      <w:pPr>
        <w:ind w:firstLine="562" w:firstLineChars="200"/>
        <w:rPr>
          <w:color w:val="000000" w:themeColor="text1"/>
          <w14:textFill>
            <w14:solidFill>
              <w14:schemeClr w14:val="tx1"/>
            </w14:solidFill>
          </w14:textFill>
        </w:rPr>
      </w:pPr>
      <w:r>
        <w:rPr>
          <w:rFonts w:hint="eastAsia"/>
          <w:b/>
          <w:color w:val="000000" w:themeColor="text1"/>
          <w14:textFill>
            <w14:solidFill>
              <w14:schemeClr w14:val="tx1"/>
            </w14:solidFill>
          </w14:textFill>
        </w:rPr>
        <w:t>2、项目类型：</w:t>
      </w:r>
      <w:r>
        <w:rPr>
          <w:rFonts w:hint="eastAsia"/>
          <w:color w:val="000000" w:themeColor="text1"/>
          <w14:textFill>
            <w14:solidFill>
              <w14:schemeClr w14:val="tx1"/>
            </w14:solidFill>
          </w14:textFill>
        </w:rPr>
        <w:t>项目属于“新建项目”，属于林业类项目。</w:t>
      </w:r>
    </w:p>
    <w:p>
      <w:pPr>
        <w:ind w:firstLine="562" w:firstLineChars="200"/>
        <w:rPr>
          <w:color w:val="000000" w:themeColor="text1"/>
          <w14:textFill>
            <w14:solidFill>
              <w14:schemeClr w14:val="tx1"/>
            </w14:solidFill>
          </w14:textFill>
        </w:rPr>
      </w:pPr>
      <w:r>
        <w:rPr>
          <w:rFonts w:hint="eastAsia"/>
          <w:b/>
          <w:color w:val="000000" w:themeColor="text1"/>
          <w14:textFill>
            <w14:solidFill>
              <w14:schemeClr w14:val="tx1"/>
            </w14:solidFill>
          </w14:textFill>
        </w:rPr>
        <w:t>3、项目所在地：</w:t>
      </w:r>
      <w:r>
        <w:rPr>
          <w:rFonts w:hint="eastAsia"/>
          <w:color w:val="000000" w:themeColor="text1"/>
          <w14:textFill>
            <w14:solidFill>
              <w14:schemeClr w14:val="tx1"/>
            </w14:solidFill>
          </w14:textFill>
        </w:rPr>
        <w:t>项目合作区域整体上划分为北部山区，湛河区，城乡一体化示范区、高新区及石龙区，具体包含宝丰县、郏县、卫东区、新华区、湛河区、高新区、叶县的部分区域。</w:t>
      </w:r>
    </w:p>
    <w:p>
      <w:pPr>
        <w:ind w:firstLine="562" w:firstLineChars="200"/>
        <w:rPr>
          <w:color w:val="000000" w:themeColor="text1"/>
          <w14:textFill>
            <w14:solidFill>
              <w14:schemeClr w14:val="tx1"/>
            </w14:solidFill>
          </w14:textFill>
        </w:rPr>
      </w:pPr>
      <w:r>
        <w:rPr>
          <w:rFonts w:hint="eastAsia"/>
          <w:b/>
          <w:color w:val="000000" w:themeColor="text1"/>
          <w14:textFill>
            <w14:solidFill>
              <w14:schemeClr w14:val="tx1"/>
            </w14:solidFill>
          </w14:textFill>
        </w:rPr>
        <w:t>4、实施机构：</w:t>
      </w:r>
      <w:r>
        <w:rPr>
          <w:rFonts w:hint="eastAsia"/>
          <w:color w:val="000000" w:themeColor="text1"/>
          <w14:textFill>
            <w14:solidFill>
              <w14:schemeClr w14:val="tx1"/>
            </w14:solidFill>
          </w14:textFill>
        </w:rPr>
        <w:t>平顶山市林业局</w:t>
      </w:r>
    </w:p>
    <w:p>
      <w:pPr>
        <w:ind w:firstLine="56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5、政府出资代表：</w:t>
      </w:r>
      <w:r>
        <w:rPr>
          <w:color w:val="000000"/>
        </w:rPr>
        <w:t>平顶山市财信投资有限责任公司</w:t>
      </w:r>
    </w:p>
    <w:p>
      <w:pPr>
        <w:ind w:firstLine="562" w:firstLineChars="200"/>
        <w:rPr>
          <w:color w:val="000000" w:themeColor="text1"/>
          <w14:textFill>
            <w14:solidFill>
              <w14:schemeClr w14:val="tx1"/>
            </w14:solidFill>
          </w14:textFill>
        </w:rPr>
      </w:pPr>
      <w:r>
        <w:rPr>
          <w:rFonts w:hint="eastAsia"/>
          <w:b/>
          <w:color w:val="000000" w:themeColor="text1"/>
          <w14:textFill>
            <w14:solidFill>
              <w14:schemeClr w14:val="tx1"/>
            </w14:solidFill>
          </w14:textFill>
        </w:rPr>
        <w:t>6、项目合作周期：</w:t>
      </w:r>
      <w:r>
        <w:rPr>
          <w:rFonts w:hint="eastAsia"/>
          <w:color w:val="000000" w:themeColor="text1"/>
          <w14:textFill>
            <w14:solidFill>
              <w14:schemeClr w14:val="tx1"/>
            </w14:solidFill>
          </w14:textFill>
        </w:rPr>
        <w:t>项目合作期限25年，其中建设期6年，运营维护期19年。</w:t>
      </w:r>
    </w:p>
    <w:p>
      <w:pPr>
        <w:ind w:firstLine="562" w:firstLineChars="200"/>
        <w:rPr>
          <w:color w:val="000000" w:themeColor="text1"/>
          <w14:textFill>
            <w14:solidFill>
              <w14:schemeClr w14:val="tx1"/>
            </w14:solidFill>
          </w14:textFill>
        </w:rPr>
      </w:pPr>
      <w:r>
        <w:rPr>
          <w:rFonts w:hint="eastAsia"/>
          <w:b/>
          <w:color w:val="000000" w:themeColor="text1"/>
          <w14:textFill>
            <w14:solidFill>
              <w14:schemeClr w14:val="tx1"/>
            </w14:solidFill>
          </w14:textFill>
        </w:rPr>
        <w:t>7、项目当前进展：</w:t>
      </w:r>
      <w:r>
        <w:rPr>
          <w:rFonts w:hint="eastAsia"/>
          <w:color w:val="000000" w:themeColor="text1"/>
          <w14:textFill>
            <w14:solidFill>
              <w14:schemeClr w14:val="tx1"/>
            </w14:solidFill>
          </w14:textFill>
        </w:rPr>
        <w:t>项目现处于识别准备阶段，项目已完成前期规划、建设方案及可行性研究报告的编制及审批工作。</w:t>
      </w:r>
    </w:p>
    <w:p>
      <w:pPr>
        <w:ind w:firstLine="56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8、项目建设内容</w:t>
      </w:r>
    </w:p>
    <w:p>
      <w:pPr>
        <w:ind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建设范围主要分布在平顶山市北部山区、湛河区、城乡一体化示范区、高新区及石龙区，拟建国家储备林基地179048.70亩，包括集约人工林栽培159251.00亩、现有林改培3022.40亩、中幼林抚育16775.30亩以及配套基础设施的建设。</w:t>
      </w:r>
    </w:p>
    <w:p>
      <w:pPr>
        <w:tabs>
          <w:tab w:val="clear" w:pos="3261"/>
          <w:tab w:val="clear" w:pos="4536"/>
        </w:tabs>
        <w:adjustRightInd w:val="0"/>
        <w:snapToGrid w:val="0"/>
        <w:spacing w:line="360" w:lineRule="auto"/>
        <w:ind w:firstLine="562" w:firstLineChars="200"/>
        <w:jc w:val="center"/>
        <w:rPr>
          <w:b/>
          <w:color w:val="000000"/>
        </w:rPr>
      </w:pPr>
      <w:r>
        <w:rPr>
          <w:rFonts w:hint="eastAsia"/>
          <w:b/>
          <w:color w:val="000000"/>
        </w:rPr>
        <w:t>表2.1 项目建设范围（单位：亩）</w:t>
      </w:r>
    </w:p>
    <w:tbl>
      <w:tblPr>
        <w:tblStyle w:val="44"/>
        <w:tblW w:w="8528" w:type="dxa"/>
        <w:tblInd w:w="0" w:type="dxa"/>
        <w:tblLayout w:type="fixed"/>
        <w:tblCellMar>
          <w:top w:w="0" w:type="dxa"/>
          <w:left w:w="108" w:type="dxa"/>
          <w:bottom w:w="0" w:type="dxa"/>
          <w:right w:w="108" w:type="dxa"/>
        </w:tblCellMar>
      </w:tblPr>
      <w:tblGrid>
        <w:gridCol w:w="905"/>
        <w:gridCol w:w="3005"/>
        <w:gridCol w:w="1236"/>
        <w:gridCol w:w="1236"/>
        <w:gridCol w:w="1030"/>
        <w:gridCol w:w="1116"/>
      </w:tblGrid>
      <w:tr>
        <w:tblPrEx>
          <w:tblLayout w:type="fixed"/>
          <w:tblCellMar>
            <w:top w:w="0" w:type="dxa"/>
            <w:left w:w="108" w:type="dxa"/>
            <w:bottom w:w="0" w:type="dxa"/>
            <w:right w:w="108" w:type="dxa"/>
          </w:tblCellMar>
        </w:tblPrEx>
        <w:trPr>
          <w:trHeight w:val="480" w:hRule="atLeast"/>
          <w:tblHeader/>
        </w:trPr>
        <w:tc>
          <w:tcPr>
            <w:tcW w:w="905" w:type="dxa"/>
            <w:tcBorders>
              <w:top w:val="single" w:color="auto" w:sz="4" w:space="0"/>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b/>
                <w:bCs/>
                <w:color w:val="000000"/>
                <w:kern w:val="0"/>
                <w:sz w:val="24"/>
                <w:szCs w:val="24"/>
              </w:rPr>
            </w:pPr>
            <w:r>
              <w:rPr>
                <w:rFonts w:hint="eastAsia"/>
                <w:b/>
                <w:bCs/>
                <w:color w:val="000000"/>
                <w:kern w:val="0"/>
                <w:sz w:val="24"/>
                <w:szCs w:val="24"/>
              </w:rPr>
              <w:t>序号</w:t>
            </w:r>
          </w:p>
        </w:tc>
        <w:tc>
          <w:tcPr>
            <w:tcW w:w="3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bCs/>
                <w:color w:val="000000"/>
                <w:kern w:val="0"/>
                <w:sz w:val="24"/>
                <w:szCs w:val="24"/>
              </w:rPr>
            </w:pPr>
            <w:r>
              <w:rPr>
                <w:rFonts w:hint="eastAsia"/>
                <w:b/>
                <w:bCs/>
                <w:color w:val="000000"/>
                <w:kern w:val="0"/>
                <w:sz w:val="24"/>
                <w:szCs w:val="24"/>
              </w:rPr>
              <w:t>县（区）乡（镇）</w:t>
            </w:r>
          </w:p>
        </w:tc>
        <w:tc>
          <w:tcPr>
            <w:tcW w:w="1236" w:type="dxa"/>
            <w:tcBorders>
              <w:top w:val="single" w:color="auto" w:sz="4" w:space="0"/>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bCs/>
                <w:color w:val="000000"/>
                <w:kern w:val="0"/>
                <w:sz w:val="24"/>
                <w:szCs w:val="24"/>
              </w:rPr>
            </w:pPr>
            <w:r>
              <w:rPr>
                <w:rFonts w:hint="eastAsia"/>
                <w:b/>
                <w:bCs/>
                <w:color w:val="000000"/>
                <w:kern w:val="0"/>
                <w:sz w:val="24"/>
                <w:szCs w:val="24"/>
              </w:rPr>
              <w:t>合计</w:t>
            </w:r>
          </w:p>
        </w:tc>
        <w:tc>
          <w:tcPr>
            <w:tcW w:w="1236" w:type="dxa"/>
            <w:tcBorders>
              <w:top w:val="single" w:color="auto" w:sz="4" w:space="0"/>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bCs/>
                <w:color w:val="000000"/>
                <w:kern w:val="0"/>
                <w:sz w:val="24"/>
                <w:szCs w:val="24"/>
              </w:rPr>
            </w:pPr>
            <w:r>
              <w:rPr>
                <w:rFonts w:hint="eastAsia"/>
                <w:b/>
                <w:bCs/>
                <w:color w:val="000000"/>
                <w:kern w:val="0"/>
                <w:sz w:val="24"/>
                <w:szCs w:val="24"/>
              </w:rPr>
              <w:t>集约人工林栽培</w:t>
            </w:r>
          </w:p>
        </w:tc>
        <w:tc>
          <w:tcPr>
            <w:tcW w:w="1030" w:type="dxa"/>
            <w:tcBorders>
              <w:top w:val="single" w:color="auto" w:sz="4" w:space="0"/>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bCs/>
                <w:color w:val="000000"/>
                <w:kern w:val="0"/>
                <w:sz w:val="24"/>
                <w:szCs w:val="24"/>
              </w:rPr>
            </w:pPr>
            <w:r>
              <w:rPr>
                <w:rFonts w:hint="eastAsia"/>
                <w:b/>
                <w:bCs/>
                <w:color w:val="000000"/>
                <w:kern w:val="0"/>
                <w:sz w:val="24"/>
                <w:szCs w:val="24"/>
              </w:rPr>
              <w:t>改培</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bCs/>
                <w:color w:val="000000"/>
                <w:kern w:val="0"/>
                <w:sz w:val="24"/>
                <w:szCs w:val="24"/>
              </w:rPr>
            </w:pPr>
            <w:r>
              <w:rPr>
                <w:rFonts w:hint="eastAsia"/>
                <w:b/>
                <w:bCs/>
                <w:color w:val="000000"/>
                <w:kern w:val="0"/>
                <w:sz w:val="24"/>
                <w:szCs w:val="24"/>
              </w:rPr>
              <w:t>抚育</w:t>
            </w:r>
          </w:p>
        </w:tc>
      </w:tr>
      <w:tr>
        <w:tblPrEx>
          <w:tblLayout w:type="fixed"/>
          <w:tblCellMar>
            <w:top w:w="0" w:type="dxa"/>
            <w:left w:w="108" w:type="dxa"/>
            <w:bottom w:w="0" w:type="dxa"/>
            <w:right w:w="108" w:type="dxa"/>
          </w:tblCellMar>
        </w:tblPrEx>
        <w:trPr>
          <w:trHeight w:val="270" w:hRule="atLeast"/>
        </w:trPr>
        <w:tc>
          <w:tcPr>
            <w:tcW w:w="905" w:type="dxa"/>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b/>
                <w:bCs/>
                <w:color w:val="000000"/>
                <w:kern w:val="0"/>
                <w:sz w:val="24"/>
                <w:szCs w:val="24"/>
              </w:rPr>
            </w:pPr>
            <w:r>
              <w:rPr>
                <w:rFonts w:hint="eastAsia"/>
                <w:b/>
                <w:bCs/>
                <w:color w:val="000000"/>
                <w:kern w:val="0"/>
                <w:sz w:val="24"/>
                <w:szCs w:val="24"/>
              </w:rPr>
              <w:t>一</w:t>
            </w:r>
          </w:p>
        </w:tc>
        <w:tc>
          <w:tcPr>
            <w:tcW w:w="3005"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bCs/>
                <w:color w:val="000000"/>
                <w:kern w:val="0"/>
                <w:sz w:val="24"/>
                <w:szCs w:val="24"/>
              </w:rPr>
            </w:pPr>
            <w:r>
              <w:rPr>
                <w:rFonts w:hint="eastAsia"/>
                <w:b/>
                <w:bCs/>
                <w:color w:val="000000"/>
                <w:kern w:val="0"/>
                <w:sz w:val="24"/>
                <w:szCs w:val="24"/>
              </w:rPr>
              <w:t>北部山区</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bCs/>
                <w:color w:val="000000"/>
                <w:kern w:val="0"/>
                <w:sz w:val="24"/>
                <w:szCs w:val="24"/>
              </w:rPr>
            </w:pPr>
            <w:r>
              <w:rPr>
                <w:b/>
                <w:bCs/>
                <w:color w:val="000000"/>
                <w:kern w:val="0"/>
                <w:sz w:val="24"/>
                <w:szCs w:val="24"/>
              </w:rPr>
              <w:t>86832.8</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bCs/>
                <w:color w:val="000000"/>
                <w:kern w:val="0"/>
                <w:sz w:val="24"/>
                <w:szCs w:val="24"/>
              </w:rPr>
            </w:pPr>
            <w:r>
              <w:rPr>
                <w:b/>
                <w:bCs/>
                <w:color w:val="000000"/>
                <w:kern w:val="0"/>
                <w:sz w:val="24"/>
                <w:szCs w:val="24"/>
              </w:rPr>
              <w:t>67035.1</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bCs/>
                <w:color w:val="000000"/>
                <w:kern w:val="0"/>
                <w:sz w:val="24"/>
                <w:szCs w:val="24"/>
              </w:rPr>
            </w:pPr>
            <w:r>
              <w:rPr>
                <w:b/>
                <w:bCs/>
                <w:color w:val="000000"/>
                <w:kern w:val="0"/>
                <w:sz w:val="24"/>
                <w:szCs w:val="24"/>
              </w:rPr>
              <w:t>3022.4</w:t>
            </w: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bCs/>
                <w:color w:val="000000"/>
                <w:kern w:val="0"/>
                <w:sz w:val="24"/>
                <w:szCs w:val="24"/>
              </w:rPr>
            </w:pPr>
            <w:r>
              <w:rPr>
                <w:b/>
                <w:bCs/>
                <w:color w:val="000000"/>
                <w:kern w:val="0"/>
                <w:sz w:val="24"/>
                <w:szCs w:val="24"/>
              </w:rPr>
              <w:t>16775.3</w:t>
            </w:r>
          </w:p>
        </w:tc>
      </w:tr>
      <w:tr>
        <w:tblPrEx>
          <w:tblLayout w:type="fixed"/>
          <w:tblCellMar>
            <w:top w:w="0" w:type="dxa"/>
            <w:left w:w="108" w:type="dxa"/>
            <w:bottom w:w="0" w:type="dxa"/>
            <w:right w:w="108" w:type="dxa"/>
          </w:tblCellMar>
        </w:tblPrEx>
        <w:trPr>
          <w:trHeight w:val="270" w:hRule="atLeast"/>
        </w:trPr>
        <w:tc>
          <w:tcPr>
            <w:tcW w:w="905" w:type="dxa"/>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bCs/>
                <w:color w:val="000000"/>
                <w:kern w:val="0"/>
                <w:sz w:val="24"/>
                <w:szCs w:val="24"/>
              </w:rPr>
            </w:pPr>
            <w:r>
              <w:rPr>
                <w:rFonts w:hint="eastAsia"/>
                <w:bCs/>
                <w:color w:val="000000"/>
                <w:kern w:val="0"/>
                <w:sz w:val="24"/>
                <w:szCs w:val="24"/>
              </w:rPr>
              <w:t>1</w:t>
            </w:r>
          </w:p>
        </w:tc>
        <w:tc>
          <w:tcPr>
            <w:tcW w:w="3005"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rFonts w:hint="eastAsia"/>
                <w:bCs/>
                <w:color w:val="000000"/>
                <w:kern w:val="0"/>
                <w:sz w:val="24"/>
                <w:szCs w:val="24"/>
              </w:rPr>
              <w:t>宝丰县</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17307.4</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9971.7</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7335.7</w:t>
            </w:r>
          </w:p>
        </w:tc>
      </w:tr>
      <w:tr>
        <w:tblPrEx>
          <w:tblLayout w:type="fixed"/>
          <w:tblCellMar>
            <w:top w:w="0" w:type="dxa"/>
            <w:left w:w="108" w:type="dxa"/>
            <w:bottom w:w="0" w:type="dxa"/>
            <w:right w:w="108" w:type="dxa"/>
          </w:tblCellMar>
        </w:tblPrEx>
        <w:trPr>
          <w:trHeight w:val="270" w:hRule="atLeast"/>
        </w:trPr>
        <w:tc>
          <w:tcPr>
            <w:tcW w:w="905" w:type="dxa"/>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bCs/>
                <w:color w:val="000000"/>
                <w:kern w:val="0"/>
                <w:sz w:val="24"/>
                <w:szCs w:val="24"/>
              </w:rPr>
            </w:pPr>
            <w:r>
              <w:rPr>
                <w:rFonts w:hint="eastAsia"/>
                <w:bCs/>
                <w:color w:val="000000"/>
                <w:kern w:val="0"/>
                <w:sz w:val="24"/>
                <w:szCs w:val="24"/>
              </w:rPr>
              <w:t>2</w:t>
            </w:r>
          </w:p>
        </w:tc>
        <w:tc>
          <w:tcPr>
            <w:tcW w:w="3005"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rFonts w:hint="eastAsia"/>
                <w:bCs/>
                <w:color w:val="000000"/>
                <w:kern w:val="0"/>
                <w:sz w:val="24"/>
                <w:szCs w:val="24"/>
              </w:rPr>
              <w:t>郏县</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9309.3</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5849.4</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302.5</w:t>
            </w: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3157.4</w:t>
            </w:r>
          </w:p>
        </w:tc>
      </w:tr>
      <w:tr>
        <w:tblPrEx>
          <w:tblLayout w:type="fixed"/>
          <w:tblCellMar>
            <w:top w:w="0" w:type="dxa"/>
            <w:left w:w="108" w:type="dxa"/>
            <w:bottom w:w="0" w:type="dxa"/>
            <w:right w:w="108" w:type="dxa"/>
          </w:tblCellMar>
        </w:tblPrEx>
        <w:trPr>
          <w:trHeight w:val="270" w:hRule="atLeast"/>
        </w:trPr>
        <w:tc>
          <w:tcPr>
            <w:tcW w:w="905" w:type="dxa"/>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bCs/>
                <w:color w:val="000000"/>
                <w:kern w:val="0"/>
                <w:sz w:val="24"/>
                <w:szCs w:val="24"/>
              </w:rPr>
            </w:pPr>
            <w:r>
              <w:rPr>
                <w:rFonts w:hint="eastAsia"/>
                <w:bCs/>
                <w:color w:val="000000"/>
                <w:kern w:val="0"/>
                <w:sz w:val="24"/>
                <w:szCs w:val="24"/>
              </w:rPr>
              <w:t>3</w:t>
            </w:r>
          </w:p>
        </w:tc>
        <w:tc>
          <w:tcPr>
            <w:tcW w:w="3005"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rFonts w:hint="eastAsia"/>
                <w:bCs/>
                <w:color w:val="000000"/>
                <w:kern w:val="0"/>
                <w:sz w:val="24"/>
                <w:szCs w:val="24"/>
              </w:rPr>
              <w:t>卫东区</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43846.1</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36338.1</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2388</w:t>
            </w: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5120</w:t>
            </w:r>
          </w:p>
        </w:tc>
      </w:tr>
      <w:tr>
        <w:tblPrEx>
          <w:tblLayout w:type="fixed"/>
          <w:tblCellMar>
            <w:top w:w="0" w:type="dxa"/>
            <w:left w:w="108" w:type="dxa"/>
            <w:bottom w:w="0" w:type="dxa"/>
            <w:right w:w="108" w:type="dxa"/>
          </w:tblCellMar>
        </w:tblPrEx>
        <w:trPr>
          <w:trHeight w:val="270" w:hRule="atLeast"/>
        </w:trPr>
        <w:tc>
          <w:tcPr>
            <w:tcW w:w="905" w:type="dxa"/>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bCs/>
                <w:color w:val="000000"/>
                <w:kern w:val="0"/>
                <w:sz w:val="24"/>
                <w:szCs w:val="24"/>
              </w:rPr>
            </w:pPr>
            <w:r>
              <w:rPr>
                <w:rFonts w:hint="eastAsia"/>
                <w:bCs/>
                <w:color w:val="000000"/>
                <w:kern w:val="0"/>
                <w:sz w:val="24"/>
                <w:szCs w:val="24"/>
              </w:rPr>
              <w:t>4</w:t>
            </w:r>
          </w:p>
        </w:tc>
        <w:tc>
          <w:tcPr>
            <w:tcW w:w="3005"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rFonts w:hint="eastAsia"/>
                <w:bCs/>
                <w:color w:val="000000"/>
                <w:kern w:val="0"/>
                <w:sz w:val="24"/>
                <w:szCs w:val="24"/>
              </w:rPr>
              <w:t>新华区</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16370</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14875.9</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331.9</w:t>
            </w: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Cs/>
                <w:color w:val="000000"/>
                <w:kern w:val="0"/>
                <w:sz w:val="24"/>
                <w:szCs w:val="24"/>
              </w:rPr>
            </w:pPr>
            <w:r>
              <w:rPr>
                <w:bCs/>
                <w:color w:val="000000"/>
                <w:kern w:val="0"/>
                <w:sz w:val="24"/>
                <w:szCs w:val="24"/>
              </w:rPr>
              <w:t>1162.2</w:t>
            </w:r>
          </w:p>
        </w:tc>
      </w:tr>
      <w:tr>
        <w:tblPrEx>
          <w:tblLayout w:type="fixed"/>
          <w:tblCellMar>
            <w:top w:w="0" w:type="dxa"/>
            <w:left w:w="108" w:type="dxa"/>
            <w:bottom w:w="0" w:type="dxa"/>
            <w:right w:w="108" w:type="dxa"/>
          </w:tblCellMar>
        </w:tblPrEx>
        <w:trPr>
          <w:trHeight w:val="270" w:hRule="atLeast"/>
        </w:trPr>
        <w:tc>
          <w:tcPr>
            <w:tcW w:w="905" w:type="dxa"/>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b/>
                <w:color w:val="000000"/>
                <w:kern w:val="0"/>
                <w:sz w:val="24"/>
                <w:szCs w:val="24"/>
              </w:rPr>
            </w:pPr>
            <w:r>
              <w:rPr>
                <w:rFonts w:hint="eastAsia"/>
                <w:b/>
                <w:color w:val="000000"/>
                <w:kern w:val="0"/>
                <w:sz w:val="24"/>
                <w:szCs w:val="24"/>
              </w:rPr>
              <w:t>二</w:t>
            </w:r>
          </w:p>
        </w:tc>
        <w:tc>
          <w:tcPr>
            <w:tcW w:w="3005"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r>
              <w:rPr>
                <w:rFonts w:hint="eastAsia"/>
                <w:b/>
                <w:color w:val="000000"/>
                <w:kern w:val="0"/>
                <w:sz w:val="24"/>
                <w:szCs w:val="24"/>
              </w:rPr>
              <w:t>湛河区</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r>
              <w:rPr>
                <w:rFonts w:hint="eastAsia"/>
                <w:b/>
                <w:color w:val="000000"/>
                <w:kern w:val="0"/>
                <w:sz w:val="24"/>
                <w:szCs w:val="24"/>
              </w:rPr>
              <w:t>20000</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r>
              <w:rPr>
                <w:b/>
                <w:bCs/>
                <w:color w:val="000000"/>
                <w:kern w:val="0"/>
                <w:sz w:val="24"/>
                <w:szCs w:val="24"/>
              </w:rPr>
              <w:t>20000</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905" w:type="dxa"/>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b/>
                <w:color w:val="000000"/>
                <w:kern w:val="0"/>
                <w:sz w:val="24"/>
                <w:szCs w:val="24"/>
              </w:rPr>
            </w:pPr>
            <w:r>
              <w:rPr>
                <w:rFonts w:hint="eastAsia"/>
                <w:b/>
                <w:color w:val="000000"/>
                <w:kern w:val="0"/>
                <w:sz w:val="24"/>
                <w:szCs w:val="24"/>
              </w:rPr>
              <w:t>三</w:t>
            </w:r>
          </w:p>
        </w:tc>
        <w:tc>
          <w:tcPr>
            <w:tcW w:w="3005"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r>
              <w:rPr>
                <w:rFonts w:hint="eastAsia"/>
                <w:b/>
                <w:color w:val="000000"/>
                <w:kern w:val="0"/>
                <w:sz w:val="24"/>
                <w:szCs w:val="24"/>
              </w:rPr>
              <w:t>城乡一体化示范区、高新区</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r>
              <w:rPr>
                <w:b/>
                <w:color w:val="000000"/>
                <w:kern w:val="0"/>
                <w:sz w:val="24"/>
                <w:szCs w:val="24"/>
              </w:rPr>
              <w:t>61715.90</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r>
              <w:rPr>
                <w:b/>
                <w:color w:val="000000"/>
                <w:kern w:val="0"/>
                <w:sz w:val="24"/>
                <w:szCs w:val="24"/>
              </w:rPr>
              <w:t>61715.90</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905" w:type="dxa"/>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color w:val="000000"/>
                <w:kern w:val="0"/>
                <w:sz w:val="24"/>
                <w:szCs w:val="24"/>
              </w:rPr>
            </w:pPr>
            <w:r>
              <w:rPr>
                <w:rFonts w:hint="eastAsia"/>
                <w:color w:val="000000"/>
                <w:kern w:val="0"/>
                <w:sz w:val="24"/>
                <w:szCs w:val="24"/>
              </w:rPr>
              <w:t>1</w:t>
            </w:r>
          </w:p>
        </w:tc>
        <w:tc>
          <w:tcPr>
            <w:tcW w:w="3005"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r>
              <w:rPr>
                <w:bCs/>
                <w:color w:val="000000"/>
                <w:kern w:val="0"/>
                <w:sz w:val="24"/>
                <w:szCs w:val="24"/>
              </w:rPr>
              <w:t>宝丰县境内</w:t>
            </w:r>
            <w:r>
              <w:rPr>
                <w:rFonts w:hint="eastAsia"/>
                <w:bCs/>
                <w:color w:val="000000"/>
                <w:kern w:val="0"/>
                <w:sz w:val="24"/>
                <w:szCs w:val="24"/>
              </w:rPr>
              <w:t>（属于新华区）</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r>
              <w:rPr>
                <w:bCs/>
                <w:color w:val="000000"/>
                <w:kern w:val="0"/>
                <w:sz w:val="24"/>
                <w:szCs w:val="24"/>
              </w:rPr>
              <w:t>2239.8</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905" w:type="dxa"/>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color w:val="000000"/>
                <w:kern w:val="0"/>
                <w:sz w:val="24"/>
                <w:szCs w:val="24"/>
              </w:rPr>
            </w:pPr>
            <w:r>
              <w:rPr>
                <w:rFonts w:hint="eastAsia"/>
                <w:color w:val="000000"/>
                <w:kern w:val="0"/>
                <w:sz w:val="24"/>
                <w:szCs w:val="24"/>
              </w:rPr>
              <w:t>2</w:t>
            </w:r>
          </w:p>
        </w:tc>
        <w:tc>
          <w:tcPr>
            <w:tcW w:w="3005"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r>
              <w:rPr>
                <w:bCs/>
                <w:color w:val="000000"/>
                <w:kern w:val="0"/>
                <w:sz w:val="24"/>
                <w:szCs w:val="24"/>
              </w:rPr>
              <w:t>卫东区</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r>
              <w:rPr>
                <w:bCs/>
                <w:color w:val="000000"/>
                <w:kern w:val="0"/>
                <w:sz w:val="24"/>
                <w:szCs w:val="24"/>
              </w:rPr>
              <w:t>1041.4</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905" w:type="dxa"/>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color w:val="000000"/>
                <w:kern w:val="0"/>
                <w:sz w:val="24"/>
                <w:szCs w:val="24"/>
              </w:rPr>
            </w:pPr>
            <w:r>
              <w:rPr>
                <w:rFonts w:hint="eastAsia"/>
                <w:color w:val="000000"/>
                <w:kern w:val="0"/>
                <w:sz w:val="24"/>
                <w:szCs w:val="24"/>
              </w:rPr>
              <w:t>3</w:t>
            </w:r>
          </w:p>
        </w:tc>
        <w:tc>
          <w:tcPr>
            <w:tcW w:w="3005"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r>
              <w:rPr>
                <w:bCs/>
                <w:color w:val="000000"/>
                <w:kern w:val="0"/>
                <w:sz w:val="24"/>
                <w:szCs w:val="24"/>
              </w:rPr>
              <w:t>新华区</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r>
              <w:rPr>
                <w:bCs/>
                <w:color w:val="000000"/>
                <w:kern w:val="0"/>
                <w:sz w:val="24"/>
                <w:szCs w:val="24"/>
              </w:rPr>
              <w:t>30866.4</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905" w:type="dxa"/>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color w:val="000000"/>
                <w:kern w:val="0"/>
                <w:sz w:val="24"/>
                <w:szCs w:val="24"/>
              </w:rPr>
            </w:pPr>
            <w:r>
              <w:rPr>
                <w:rFonts w:hint="eastAsia"/>
                <w:color w:val="000000"/>
                <w:kern w:val="0"/>
                <w:sz w:val="24"/>
                <w:szCs w:val="24"/>
              </w:rPr>
              <w:t>4</w:t>
            </w:r>
          </w:p>
        </w:tc>
        <w:tc>
          <w:tcPr>
            <w:tcW w:w="3005"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r>
              <w:rPr>
                <w:bCs/>
                <w:color w:val="000000"/>
                <w:kern w:val="0"/>
                <w:sz w:val="24"/>
                <w:szCs w:val="24"/>
              </w:rPr>
              <w:t>叶县</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r>
              <w:rPr>
                <w:bCs/>
                <w:color w:val="000000"/>
                <w:kern w:val="0"/>
                <w:sz w:val="24"/>
                <w:szCs w:val="24"/>
              </w:rPr>
              <w:t>9951.5</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905" w:type="dxa"/>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color w:val="000000"/>
                <w:kern w:val="0"/>
                <w:sz w:val="24"/>
                <w:szCs w:val="24"/>
              </w:rPr>
            </w:pPr>
            <w:r>
              <w:rPr>
                <w:rFonts w:hint="eastAsia"/>
                <w:color w:val="000000"/>
                <w:kern w:val="0"/>
                <w:sz w:val="24"/>
                <w:szCs w:val="24"/>
              </w:rPr>
              <w:t>5</w:t>
            </w:r>
          </w:p>
        </w:tc>
        <w:tc>
          <w:tcPr>
            <w:tcW w:w="3005"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r>
              <w:rPr>
                <w:bCs/>
                <w:color w:val="000000"/>
                <w:kern w:val="0"/>
                <w:sz w:val="24"/>
                <w:szCs w:val="24"/>
              </w:rPr>
              <w:t>湛河区</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r>
              <w:rPr>
                <w:bCs/>
                <w:color w:val="000000"/>
                <w:kern w:val="0"/>
                <w:sz w:val="24"/>
                <w:szCs w:val="24"/>
              </w:rPr>
              <w:t>17616.8</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905" w:type="dxa"/>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b/>
                <w:color w:val="000000"/>
                <w:kern w:val="0"/>
                <w:sz w:val="24"/>
                <w:szCs w:val="24"/>
              </w:rPr>
            </w:pPr>
            <w:r>
              <w:rPr>
                <w:rFonts w:hint="eastAsia"/>
                <w:b/>
                <w:color w:val="000000"/>
                <w:kern w:val="0"/>
                <w:sz w:val="24"/>
                <w:szCs w:val="24"/>
              </w:rPr>
              <w:t>四</w:t>
            </w:r>
          </w:p>
        </w:tc>
        <w:tc>
          <w:tcPr>
            <w:tcW w:w="3005"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r>
              <w:rPr>
                <w:b/>
                <w:color w:val="000000"/>
                <w:kern w:val="0"/>
                <w:sz w:val="24"/>
                <w:szCs w:val="24"/>
              </w:rPr>
              <w:t>石龙区</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r>
              <w:rPr>
                <w:b/>
                <w:color w:val="000000"/>
                <w:kern w:val="0"/>
                <w:sz w:val="24"/>
                <w:szCs w:val="24"/>
              </w:rPr>
              <w:t>10500.00</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r>
              <w:rPr>
                <w:b/>
                <w:color w:val="000000"/>
                <w:kern w:val="0"/>
                <w:sz w:val="24"/>
                <w:szCs w:val="24"/>
              </w:rPr>
              <w:t>10500.00</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910" w:type="dxa"/>
            <w:gridSpan w:val="2"/>
            <w:tcBorders>
              <w:top w:val="nil"/>
              <w:left w:val="single" w:color="auto" w:sz="4" w:space="0"/>
              <w:bottom w:val="single" w:color="auto" w:sz="4" w:space="0"/>
              <w:right w:val="single" w:color="auto" w:sz="4" w:space="0"/>
            </w:tcBorders>
          </w:tcPr>
          <w:p>
            <w:pPr>
              <w:widowControl/>
              <w:tabs>
                <w:tab w:val="clear" w:pos="3261"/>
                <w:tab w:val="clear" w:pos="4536"/>
              </w:tabs>
              <w:ind w:firstLine="0" w:firstLineChars="0"/>
              <w:jc w:val="center"/>
              <w:rPr>
                <w:b/>
                <w:color w:val="000000"/>
                <w:kern w:val="0"/>
                <w:sz w:val="24"/>
                <w:szCs w:val="24"/>
              </w:rPr>
            </w:pPr>
            <w:r>
              <w:rPr>
                <w:rFonts w:hint="eastAsia"/>
                <w:b/>
                <w:color w:val="000000"/>
                <w:kern w:val="0"/>
                <w:sz w:val="24"/>
                <w:szCs w:val="24"/>
              </w:rPr>
              <w:t>合计</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r>
              <w:rPr>
                <w:rFonts w:hint="eastAsia"/>
                <w:b/>
                <w:color w:val="000000"/>
                <w:kern w:val="0"/>
                <w:sz w:val="24"/>
                <w:szCs w:val="24"/>
              </w:rPr>
              <w:t>179048.70</w:t>
            </w:r>
          </w:p>
        </w:tc>
        <w:tc>
          <w:tcPr>
            <w:tcW w:w="123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r>
              <w:rPr>
                <w:b/>
                <w:color w:val="000000"/>
                <w:kern w:val="0"/>
                <w:sz w:val="24"/>
                <w:szCs w:val="24"/>
              </w:rPr>
              <w:t>159251.00</w:t>
            </w:r>
          </w:p>
        </w:tc>
        <w:tc>
          <w:tcPr>
            <w:tcW w:w="103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r>
              <w:rPr>
                <w:b/>
                <w:color w:val="000000"/>
                <w:kern w:val="0"/>
                <w:sz w:val="24"/>
                <w:szCs w:val="24"/>
              </w:rPr>
              <w:t>3022.40</w:t>
            </w:r>
          </w:p>
        </w:tc>
        <w:tc>
          <w:tcPr>
            <w:tcW w:w="111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ind w:firstLine="0" w:firstLineChars="0"/>
              <w:jc w:val="center"/>
              <w:rPr>
                <w:b/>
                <w:color w:val="000000"/>
                <w:kern w:val="0"/>
                <w:sz w:val="24"/>
                <w:szCs w:val="24"/>
              </w:rPr>
            </w:pPr>
            <w:r>
              <w:rPr>
                <w:b/>
                <w:color w:val="000000"/>
                <w:kern w:val="0"/>
                <w:sz w:val="24"/>
                <w:szCs w:val="24"/>
              </w:rPr>
              <w:t>16775.30</w:t>
            </w:r>
          </w:p>
        </w:tc>
      </w:tr>
    </w:tbl>
    <w:p>
      <w:pPr>
        <w:ind w:firstLine="56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9、项目运营内容</w:t>
      </w:r>
    </w:p>
    <w:p>
      <w:pPr>
        <w:tabs>
          <w:tab w:val="clear" w:pos="3261"/>
          <w:tab w:val="clear" w:pos="4536"/>
        </w:tabs>
        <w:adjustRightInd w:val="0"/>
        <w:snapToGrid w:val="0"/>
        <w:spacing w:line="360" w:lineRule="auto"/>
        <w:ind w:firstLine="560" w:firstLineChars="200"/>
        <w:rPr>
          <w:bCs/>
          <w:color w:val="000000"/>
        </w:rPr>
      </w:pPr>
      <w:r>
        <w:rPr>
          <w:bCs/>
          <w:color w:val="000000"/>
        </w:rPr>
        <w:t>本项目运营内容包括合作范围内集约人工林、现有林、中幼林的抚育和管护、配套基础设施的维护、项目产品的收获和销售、造林技术和档案管理等</w:t>
      </w:r>
      <w:r>
        <w:rPr>
          <w:rFonts w:hint="eastAsia"/>
          <w:bCs/>
          <w:color w:val="000000"/>
        </w:rPr>
        <w:t>。</w:t>
      </w:r>
      <w:r>
        <w:rPr>
          <w:bCs/>
          <w:color w:val="000000"/>
        </w:rPr>
        <w:t>具体为</w:t>
      </w:r>
      <w:r>
        <w:rPr>
          <w:rFonts w:hint="eastAsia"/>
          <w:bCs/>
          <w:color w:val="000000"/>
        </w:rPr>
        <w:t>：</w:t>
      </w:r>
    </w:p>
    <w:p>
      <w:pPr>
        <w:tabs>
          <w:tab w:val="clear" w:pos="3261"/>
          <w:tab w:val="clear" w:pos="4536"/>
        </w:tabs>
        <w:adjustRightInd w:val="0"/>
        <w:snapToGrid w:val="0"/>
        <w:spacing w:line="360" w:lineRule="auto"/>
        <w:ind w:firstLine="560" w:firstLineChars="200"/>
        <w:rPr>
          <w:color w:val="000000"/>
        </w:rPr>
      </w:pPr>
      <w:r>
        <w:rPr>
          <w:rFonts w:hint="eastAsia"/>
          <w:color w:val="000000"/>
        </w:rPr>
        <w:t>（1）</w:t>
      </w:r>
      <w:r>
        <w:rPr>
          <w:color w:val="000000"/>
        </w:rPr>
        <w:t>林地抚育与管护</w:t>
      </w:r>
    </w:p>
    <w:p>
      <w:pPr>
        <w:tabs>
          <w:tab w:val="clear" w:pos="3261"/>
          <w:tab w:val="clear" w:pos="4536"/>
        </w:tabs>
        <w:adjustRightInd w:val="0"/>
        <w:snapToGrid w:val="0"/>
        <w:spacing w:line="360" w:lineRule="auto"/>
        <w:ind w:firstLine="560" w:firstLineChars="200"/>
        <w:rPr>
          <w:color w:val="000000"/>
        </w:rPr>
      </w:pPr>
      <w:r>
        <w:rPr>
          <w:rFonts w:hint="eastAsia"/>
          <w:color w:val="000000"/>
        </w:rPr>
        <w:t>在实际运营过程中，林地抚育与管护应结合年度实施细则、技术规程和实际需要，参照相关标准及要求进行。</w:t>
      </w:r>
    </w:p>
    <w:p>
      <w:pPr>
        <w:tabs>
          <w:tab w:val="clear" w:pos="3261"/>
          <w:tab w:val="clear" w:pos="4536"/>
        </w:tabs>
        <w:adjustRightInd w:val="0"/>
        <w:snapToGrid w:val="0"/>
        <w:spacing w:line="360" w:lineRule="auto"/>
        <w:ind w:firstLine="560" w:firstLineChars="200"/>
        <w:rPr>
          <w:color w:val="000000"/>
        </w:rPr>
      </w:pPr>
      <w:r>
        <w:rPr>
          <w:rFonts w:hint="eastAsia"/>
          <w:color w:val="000000"/>
        </w:rPr>
        <w:t>（2）</w:t>
      </w:r>
      <w:r>
        <w:rPr>
          <w:color w:val="000000"/>
        </w:rPr>
        <w:t>配套设施维护</w:t>
      </w:r>
    </w:p>
    <w:p>
      <w:pPr>
        <w:tabs>
          <w:tab w:val="clear" w:pos="3261"/>
          <w:tab w:val="clear" w:pos="4536"/>
        </w:tabs>
        <w:adjustRightInd w:val="0"/>
        <w:snapToGrid w:val="0"/>
        <w:spacing w:line="360" w:lineRule="auto"/>
        <w:ind w:firstLine="560" w:firstLineChars="200"/>
        <w:rPr>
          <w:color w:val="000000"/>
        </w:rPr>
      </w:pPr>
      <w:r>
        <w:rPr>
          <w:rFonts w:hint="eastAsia"/>
          <w:color w:val="000000"/>
        </w:rPr>
        <w:t>林区配套设施是森林正常运行的基本保障。本项目配套设施包括水电设施配套、林区道路建设、林业有害生物防治工程建设、森林防火工程建设、管护设施及设备、科研宣教推广设施、苗圃等。配套设施的维护主要包括：</w:t>
      </w:r>
      <w:r>
        <w:rPr>
          <w:color w:val="000000"/>
        </w:rPr>
        <w:t>配套设施设备的日常保养、维修、定期检测等。</w:t>
      </w:r>
    </w:p>
    <w:p>
      <w:pPr>
        <w:tabs>
          <w:tab w:val="clear" w:pos="3261"/>
          <w:tab w:val="clear" w:pos="4536"/>
        </w:tabs>
        <w:adjustRightInd w:val="0"/>
        <w:snapToGrid w:val="0"/>
        <w:spacing w:line="360" w:lineRule="auto"/>
        <w:ind w:firstLine="560" w:firstLineChars="200"/>
        <w:rPr>
          <w:color w:val="000000"/>
        </w:rPr>
      </w:pPr>
      <w:r>
        <w:rPr>
          <w:rFonts w:hint="eastAsia"/>
          <w:color w:val="000000"/>
        </w:rPr>
        <w:t>（3）</w:t>
      </w:r>
      <w:r>
        <w:rPr>
          <w:color w:val="000000"/>
        </w:rPr>
        <w:t>林产品销售</w:t>
      </w:r>
    </w:p>
    <w:p>
      <w:pPr>
        <w:tabs>
          <w:tab w:val="clear" w:pos="3261"/>
          <w:tab w:val="clear" w:pos="4536"/>
        </w:tabs>
        <w:adjustRightInd w:val="0"/>
        <w:snapToGrid w:val="0"/>
        <w:spacing w:line="360" w:lineRule="auto"/>
        <w:ind w:firstLine="560" w:firstLineChars="200"/>
        <w:rPr>
          <w:color w:val="000000"/>
        </w:rPr>
      </w:pPr>
      <w:r>
        <w:rPr>
          <w:rFonts w:hint="eastAsia"/>
          <w:color w:val="000000"/>
        </w:rPr>
        <w:t>项目生产的中、大径级木材和珍贵木材的销售；核桃、石榴、桃、樱桃干鲜果品的销售以及小径材、薪材及纤维材和绿化苗木的销售等。</w:t>
      </w:r>
    </w:p>
    <w:p>
      <w:pPr>
        <w:tabs>
          <w:tab w:val="clear" w:pos="3261"/>
          <w:tab w:val="clear" w:pos="4536"/>
        </w:tabs>
        <w:adjustRightInd w:val="0"/>
        <w:snapToGrid w:val="0"/>
        <w:spacing w:line="360" w:lineRule="auto"/>
        <w:ind w:firstLine="560" w:firstLineChars="200"/>
        <w:rPr>
          <w:color w:val="000000"/>
        </w:rPr>
      </w:pPr>
      <w:r>
        <w:rPr>
          <w:rFonts w:hint="eastAsia"/>
          <w:color w:val="000000"/>
        </w:rPr>
        <w:t>（4）</w:t>
      </w:r>
      <w:r>
        <w:rPr>
          <w:color w:val="000000"/>
        </w:rPr>
        <w:t>造林技术和档案管理</w:t>
      </w:r>
    </w:p>
    <w:p>
      <w:pPr>
        <w:tabs>
          <w:tab w:val="clear" w:pos="3261"/>
          <w:tab w:val="clear" w:pos="4536"/>
        </w:tabs>
        <w:adjustRightInd w:val="0"/>
        <w:snapToGrid w:val="0"/>
        <w:spacing w:line="360" w:lineRule="auto"/>
        <w:ind w:firstLine="560" w:firstLineChars="200"/>
        <w:rPr>
          <w:color w:val="000000"/>
        </w:rPr>
      </w:pPr>
      <w:r>
        <w:rPr>
          <w:rFonts w:hint="eastAsia"/>
          <w:color w:val="000000"/>
        </w:rPr>
        <w:t>运营期内造林技术和管理档案应包括中幼林抚育和管护记录、抚育采伐证明及记录、配套设施维护记录、产品销售合同、项目公司财务状况、项目公司经营状况、绩效考核情况、中期评估情况等。</w:t>
      </w:r>
    </w:p>
    <w:p>
      <w:pPr>
        <w:tabs>
          <w:tab w:val="clear" w:pos="3261"/>
          <w:tab w:val="clear" w:pos="4536"/>
        </w:tabs>
        <w:adjustRightInd w:val="0"/>
        <w:snapToGrid w:val="0"/>
        <w:spacing w:line="360" w:lineRule="auto"/>
        <w:ind w:firstLine="560" w:firstLineChars="200"/>
        <w:rPr>
          <w:color w:val="000000"/>
        </w:rPr>
      </w:pPr>
      <w:r>
        <w:rPr>
          <w:rFonts w:hint="eastAsia"/>
          <w:color w:val="000000"/>
        </w:rPr>
        <w:t>（5）</w:t>
      </w:r>
      <w:r>
        <w:rPr>
          <w:color w:val="000000"/>
        </w:rPr>
        <w:t>森林保护</w:t>
      </w:r>
    </w:p>
    <w:p>
      <w:pPr>
        <w:tabs>
          <w:tab w:val="clear" w:pos="3261"/>
          <w:tab w:val="clear" w:pos="4536"/>
        </w:tabs>
        <w:adjustRightInd w:val="0"/>
        <w:snapToGrid w:val="0"/>
        <w:spacing w:line="360" w:lineRule="auto"/>
        <w:ind w:firstLine="560" w:firstLineChars="200"/>
        <w:rPr>
          <w:color w:val="000000"/>
        </w:rPr>
      </w:pPr>
      <w:r>
        <w:rPr>
          <w:rFonts w:hint="eastAsia"/>
          <w:color w:val="000000"/>
        </w:rPr>
        <w:t>1）</w:t>
      </w:r>
      <w:r>
        <w:rPr>
          <w:color w:val="000000"/>
        </w:rPr>
        <w:t>森林防火</w:t>
      </w:r>
    </w:p>
    <w:p>
      <w:pPr>
        <w:tabs>
          <w:tab w:val="clear" w:pos="3261"/>
          <w:tab w:val="clear" w:pos="4536"/>
        </w:tabs>
        <w:adjustRightInd w:val="0"/>
        <w:snapToGrid w:val="0"/>
        <w:spacing w:line="360" w:lineRule="auto"/>
        <w:ind w:firstLine="560" w:firstLineChars="200"/>
        <w:rPr>
          <w:color w:val="000000"/>
        </w:rPr>
      </w:pPr>
      <w:r>
        <w:rPr>
          <w:color w:val="000000"/>
        </w:rPr>
        <w:t>2</w:t>
      </w:r>
      <w:r>
        <w:rPr>
          <w:rFonts w:hint="eastAsia"/>
          <w:color w:val="000000"/>
        </w:rPr>
        <w:t>）</w:t>
      </w:r>
      <w:r>
        <w:rPr>
          <w:color w:val="000000"/>
        </w:rPr>
        <w:t>有害生物防治</w:t>
      </w:r>
    </w:p>
    <w:p>
      <w:pPr>
        <w:tabs>
          <w:tab w:val="clear" w:pos="3261"/>
          <w:tab w:val="clear" w:pos="4536"/>
        </w:tabs>
        <w:adjustRightInd w:val="0"/>
        <w:snapToGrid w:val="0"/>
        <w:spacing w:line="360" w:lineRule="auto"/>
        <w:ind w:firstLine="560" w:firstLineChars="200"/>
        <w:rPr>
          <w:color w:val="000000"/>
        </w:rPr>
      </w:pPr>
      <w:r>
        <w:rPr>
          <w:color w:val="000000"/>
        </w:rPr>
        <w:t>3</w:t>
      </w:r>
      <w:r>
        <w:rPr>
          <w:rFonts w:hint="eastAsia"/>
          <w:color w:val="000000"/>
        </w:rPr>
        <w:t>）</w:t>
      </w:r>
      <w:r>
        <w:rPr>
          <w:color w:val="000000"/>
        </w:rPr>
        <w:t>森林管护</w:t>
      </w:r>
    </w:p>
    <w:p>
      <w:pPr>
        <w:tabs>
          <w:tab w:val="clear" w:pos="3261"/>
          <w:tab w:val="clear" w:pos="4536"/>
        </w:tabs>
        <w:adjustRightInd w:val="0"/>
        <w:snapToGrid w:val="0"/>
        <w:spacing w:line="360" w:lineRule="auto"/>
        <w:ind w:firstLine="560" w:firstLineChars="200"/>
        <w:rPr>
          <w:bCs/>
          <w:color w:val="000000"/>
        </w:rPr>
      </w:pPr>
      <w:r>
        <w:rPr>
          <w:rFonts w:hint="eastAsia"/>
          <w:bCs/>
          <w:color w:val="000000"/>
        </w:rPr>
        <w:t>（6）关于项目运营期的碳汇交易运营说明</w:t>
      </w:r>
    </w:p>
    <w:p>
      <w:pPr>
        <w:ind w:firstLine="560" w:firstLineChars="200"/>
        <w:rPr>
          <w:b/>
          <w:color w:val="000000" w:themeColor="text1"/>
          <w14:textFill>
            <w14:solidFill>
              <w14:schemeClr w14:val="tx1"/>
            </w14:solidFill>
          </w14:textFill>
        </w:rPr>
      </w:pPr>
      <w:r>
        <w:rPr>
          <w:bCs/>
          <w:color w:val="000000"/>
        </w:rPr>
        <w:t>本项目实施后衍生出的碳汇交易（即通过市场机制有偿转让平顶山市多余的碳排放指标）不属于项目公司的运营内容，</w:t>
      </w:r>
      <w:r>
        <w:rPr>
          <w:rFonts w:hint="eastAsia"/>
          <w:bCs/>
          <w:color w:val="000000"/>
        </w:rPr>
        <w:t>合作期内项目林业碳汇产权及收益权归政府方所有，碳汇交易相关事项应严格按照《国家林业局关于推进林业碳汇交易工作的指导意见》（林造发[2014]</w:t>
      </w:r>
      <w:r>
        <w:rPr>
          <w:bCs/>
          <w:color w:val="000000"/>
        </w:rPr>
        <w:t>55号）、《国家发展改革委关于印发温室气</w:t>
      </w:r>
      <w:r>
        <w:rPr>
          <w:rFonts w:hint="eastAsia"/>
          <w:bCs/>
          <w:color w:val="000000"/>
        </w:rPr>
        <w:t>体自愿减排交易管理暂行办法的通知》（发改气候[2012]</w:t>
      </w:r>
      <w:r>
        <w:rPr>
          <w:bCs/>
          <w:color w:val="000000"/>
        </w:rPr>
        <w:t>1668号）</w:t>
      </w:r>
      <w:r>
        <w:rPr>
          <w:rFonts w:hint="eastAsia"/>
          <w:bCs/>
          <w:color w:val="000000"/>
        </w:rPr>
        <w:t>、《温室气体自愿减排交易管理暂行办法》等相关文件开展。</w:t>
      </w:r>
    </w:p>
    <w:p>
      <w:pPr>
        <w:ind w:firstLine="56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10、项目总投资</w:t>
      </w:r>
    </w:p>
    <w:p>
      <w:pPr>
        <w:tabs>
          <w:tab w:val="clear" w:pos="3261"/>
          <w:tab w:val="clear" w:pos="4536"/>
        </w:tabs>
        <w:adjustRightInd w:val="0"/>
        <w:snapToGrid w:val="0"/>
        <w:spacing w:line="360" w:lineRule="auto"/>
        <w:ind w:firstLine="560" w:firstLineChars="200"/>
        <w:rPr>
          <w:bCs/>
          <w:color w:val="000000"/>
        </w:rPr>
      </w:pPr>
      <w:r>
        <w:rPr>
          <w:rFonts w:hint="eastAsia"/>
          <w:bCs/>
          <w:color w:val="000000"/>
        </w:rPr>
        <w:t>本项目包括平顶山市北部山区、湛河区、城乡一体化示范区、高新区及石龙区国家储备林建设，总投资为</w:t>
      </w:r>
      <w:r>
        <w:rPr>
          <w:bCs/>
          <w:color w:val="000000"/>
        </w:rPr>
        <w:t>177951.65</w:t>
      </w:r>
      <w:r>
        <w:rPr>
          <w:rFonts w:hint="eastAsia"/>
          <w:bCs/>
          <w:color w:val="000000"/>
        </w:rPr>
        <w:t>万元，具体投资构成如表2.2所示</w:t>
      </w:r>
      <w:r>
        <w:rPr>
          <w:bCs/>
          <w:color w:val="000000"/>
        </w:rPr>
        <w:t>。</w:t>
      </w:r>
    </w:p>
    <w:p>
      <w:pPr>
        <w:adjustRightInd w:val="0"/>
        <w:snapToGrid w:val="0"/>
        <w:spacing w:line="360" w:lineRule="auto"/>
        <w:ind w:firstLine="560" w:firstLineChars="200"/>
        <w:jc w:val="center"/>
        <w:rPr>
          <w:bCs/>
          <w:color w:val="000000"/>
        </w:rPr>
      </w:pPr>
      <w:r>
        <w:rPr>
          <w:rFonts w:hint="eastAsia"/>
          <w:bCs/>
          <w:color w:val="000000"/>
        </w:rPr>
        <w:t>表</w:t>
      </w:r>
      <w:r>
        <w:rPr>
          <w:bCs/>
          <w:color w:val="000000"/>
        </w:rPr>
        <w:t>2.</w:t>
      </w:r>
      <w:r>
        <w:rPr>
          <w:rFonts w:hint="eastAsia"/>
          <w:bCs/>
          <w:color w:val="000000"/>
        </w:rPr>
        <w:t>2项目投资构成（单位：万元）</w:t>
      </w:r>
    </w:p>
    <w:p>
      <w:pPr>
        <w:ind w:firstLine="420" w:firstLineChars="200"/>
        <w:rPr>
          <w:color w:val="000000" w:themeColor="text1"/>
          <w14:textFill>
            <w14:solidFill>
              <w14:schemeClr w14:val="tx1"/>
            </w14:solidFill>
          </w14:textFill>
        </w:rPr>
      </w:pPr>
      <w:r>
        <w:rPr>
          <w:rFonts w:eastAsia="等线"/>
          <w:sz w:val="21"/>
          <w:szCs w:val="22"/>
        </w:rPr>
        <w:drawing>
          <wp:inline distT="0" distB="0" distL="0" distR="0">
            <wp:extent cx="5274310" cy="207645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402" cy="2076450"/>
                    </a:xfrm>
                    <a:prstGeom prst="rect">
                      <a:avLst/>
                    </a:prstGeom>
                    <a:noFill/>
                    <a:ln>
                      <a:noFill/>
                    </a:ln>
                  </pic:spPr>
                </pic:pic>
              </a:graphicData>
            </a:graphic>
          </wp:inline>
        </w:drawing>
      </w:r>
    </w:p>
    <w:p>
      <w:pPr>
        <w:pStyle w:val="2"/>
        <w:rPr>
          <w:color w:val="000000" w:themeColor="text1"/>
          <w14:textFill>
            <w14:solidFill>
              <w14:schemeClr w14:val="tx1"/>
            </w14:solidFill>
          </w14:textFill>
        </w:rPr>
      </w:pPr>
      <w:bookmarkStart w:id="13" w:name="_Toc3974717"/>
      <w:r>
        <w:rPr>
          <w:rFonts w:hint="eastAsia"/>
          <w:color w:val="000000" w:themeColor="text1"/>
          <w14:textFill>
            <w14:solidFill>
              <w14:schemeClr w14:val="tx1"/>
            </w14:solidFill>
          </w14:textFill>
        </w:rPr>
        <w:t>三、测试内容</w:t>
      </w:r>
      <w:bookmarkEnd w:id="13"/>
    </w:p>
    <w:p>
      <w:pPr>
        <w:pStyle w:val="3"/>
        <w:ind w:firstLine="562"/>
        <w:rPr>
          <w:color w:val="000000" w:themeColor="text1"/>
          <w14:textFill>
            <w14:solidFill>
              <w14:schemeClr w14:val="tx1"/>
            </w14:solidFill>
          </w14:textFill>
        </w:rPr>
      </w:pPr>
      <w:bookmarkStart w:id="14" w:name="_Toc3974718"/>
      <w:r>
        <w:rPr>
          <w:rFonts w:hint="eastAsia"/>
          <w:color w:val="000000" w:themeColor="text1"/>
          <w14:textFill>
            <w14:solidFill>
              <w14:schemeClr w14:val="tx1"/>
            </w14:solidFill>
          </w14:textFill>
        </w:rPr>
        <w:t>1、项目投融资结构及项目公司股权结构</w:t>
      </w:r>
      <w:bookmarkEnd w:id="14"/>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本项目将由实施机构与选中的社会资本签订PPP项目合同，由政府方出资代表与中标社会资本共同出资成立项目公司，资本金占项目投资总额的</w:t>
      </w:r>
      <w:r>
        <w:rPr>
          <w:color w:val="000000" w:themeColor="text1"/>
          <w14:textFill>
            <w14:solidFill>
              <w14:schemeClr w14:val="tx1"/>
            </w14:solidFill>
          </w14:textFill>
        </w:rPr>
        <w:t>20.15</w:t>
      </w:r>
      <w:r>
        <w:rPr>
          <w:rFonts w:hint="eastAsia"/>
          <w:color w:val="000000" w:themeColor="text1"/>
          <w14:textFill>
            <w14:solidFill>
              <w14:schemeClr w14:val="tx1"/>
            </w14:solidFill>
          </w14:textFill>
        </w:rPr>
        <w:t>%即35851.65万元，市场融资为项目总投资的79.85%即142100.00万元。项目公司注册资本与项目资本金相同，由政府方出资代表持股20%，中标社会资本持股80%，政府方出资代表与社会资本方同股同权，同股同利。项目公司股权锁定期为进入运营期后6年。</w:t>
      </w:r>
    </w:p>
    <w:p>
      <w:pPr>
        <w:pStyle w:val="3"/>
        <w:ind w:firstLine="562"/>
        <w:rPr>
          <w:color w:val="000000" w:themeColor="text1"/>
          <w14:textFill>
            <w14:solidFill>
              <w14:schemeClr w14:val="tx1"/>
            </w14:solidFill>
          </w14:textFill>
        </w:rPr>
      </w:pPr>
      <w:bookmarkStart w:id="15" w:name="_Toc3974719"/>
      <w:r>
        <w:rPr>
          <w:rFonts w:hint="eastAsia"/>
          <w:color w:val="000000" w:themeColor="text1"/>
          <w14:textFill>
            <w14:solidFill>
              <w14:schemeClr w14:val="tx1"/>
            </w14:solidFill>
          </w14:textFill>
        </w:rPr>
        <w:t>2、运作模式</w:t>
      </w:r>
      <w:bookmarkEnd w:id="15"/>
    </w:p>
    <w:p>
      <w:pPr>
        <w:spacing w:line="360" w:lineRule="auto"/>
        <w:rPr>
          <w:b/>
          <w:color w:val="000000" w:themeColor="text1"/>
          <w14:textFill>
            <w14:solidFill>
              <w14:schemeClr w14:val="tx1"/>
            </w14:solidFill>
          </w14:textFill>
        </w:rPr>
      </w:pPr>
      <w:r>
        <w:rPr>
          <w:rFonts w:hint="eastAsia"/>
          <w:color w:val="000000" w:themeColor="text1"/>
          <w14:textFill>
            <w14:solidFill>
              <w14:schemeClr w14:val="tx1"/>
            </w14:solidFill>
          </w14:textFill>
        </w:rPr>
        <w:t>拟采取BOT的运作方式，即建设-运营-移交方式，具体为DBFOT即由项目公司负责本项目的</w:t>
      </w:r>
      <w:r>
        <w:rPr>
          <w:rFonts w:hint="eastAsia"/>
          <w:b/>
          <w:color w:val="000000" w:themeColor="text1"/>
          <w14:textFill>
            <w14:solidFill>
              <w14:schemeClr w14:val="tx1"/>
            </w14:solidFill>
          </w14:textFill>
        </w:rPr>
        <w:t>设计、投资、建设、运营管理和移交。</w:t>
      </w:r>
    </w:p>
    <w:p>
      <w:pPr>
        <w:pStyle w:val="3"/>
        <w:ind w:firstLine="562"/>
        <w:rPr>
          <w:color w:val="000000" w:themeColor="text1"/>
          <w14:textFill>
            <w14:solidFill>
              <w14:schemeClr w14:val="tx1"/>
            </w14:solidFill>
          </w14:textFill>
        </w:rPr>
      </w:pPr>
      <w:bookmarkStart w:id="16" w:name="_Toc3974720"/>
      <w:r>
        <w:rPr>
          <w:rFonts w:hint="eastAsia"/>
          <w:color w:val="000000" w:themeColor="text1"/>
          <w14:textFill>
            <w14:solidFill>
              <w14:schemeClr w14:val="tx1"/>
            </w14:solidFill>
          </w14:textFill>
        </w:rPr>
        <w:t>3、项目进入运营期的起点</w:t>
      </w:r>
      <w:bookmarkEnd w:id="16"/>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由项目整体竣工验收合格之日起进入运营期。</w:t>
      </w:r>
    </w:p>
    <w:p>
      <w:pPr>
        <w:pStyle w:val="3"/>
        <w:ind w:firstLine="562"/>
        <w:rPr>
          <w:b w:val="0"/>
          <w:color w:val="000000" w:themeColor="text1"/>
          <w14:textFill>
            <w14:solidFill>
              <w14:schemeClr w14:val="tx1"/>
            </w14:solidFill>
          </w14:textFill>
        </w:rPr>
      </w:pPr>
      <w:bookmarkStart w:id="17" w:name="_Toc3974721"/>
      <w:r>
        <w:rPr>
          <w:rFonts w:hint="eastAsia"/>
          <w:color w:val="000000" w:themeColor="text1"/>
          <w14:textFill>
            <w14:solidFill>
              <w14:schemeClr w14:val="tx1"/>
            </w14:solidFill>
          </w14:textFill>
        </w:rPr>
        <w:t>4、项目土地流转</w:t>
      </w:r>
      <w:bookmarkEnd w:id="17"/>
    </w:p>
    <w:p>
      <w:pPr>
        <w:tabs>
          <w:tab w:val="clear" w:pos="3261"/>
          <w:tab w:val="clear" w:pos="4536"/>
        </w:tabs>
        <w:adjustRightInd w:val="0"/>
        <w:snapToGrid w:val="0"/>
        <w:spacing w:line="360" w:lineRule="auto"/>
        <w:ind w:firstLine="560" w:firstLineChars="200"/>
        <w:rPr>
          <w:color w:val="000000"/>
          <w:szCs w:val="24"/>
        </w:rPr>
      </w:pPr>
      <w:r>
        <w:rPr>
          <w:rFonts w:hint="eastAsia"/>
          <w:color w:val="000000"/>
          <w:szCs w:val="24"/>
        </w:rPr>
        <w:t>根据《划拨土地使用权管理暂行办法》第二条规定：“划拨土地使用权，是指土地使用者通过除出让土地使用权以外的其他各种方式依法取得的国有土地使用权。”</w:t>
      </w:r>
      <w:r>
        <w:rPr>
          <w:rFonts w:hint="eastAsia" w:eastAsia="等线"/>
          <w:color w:val="000000"/>
          <w:sz w:val="21"/>
          <w:szCs w:val="22"/>
        </w:rPr>
        <w:t xml:space="preserve"> </w:t>
      </w:r>
      <w:r>
        <w:rPr>
          <w:rFonts w:hint="eastAsia"/>
          <w:color w:val="000000"/>
          <w:szCs w:val="24"/>
        </w:rPr>
        <w:t>作为公共服务领域的项目，本项目符合《划拨用地目录》要求，故国有土地可通过划拨方式获得。剩余土地需通过流转方式获得，土地流转费由项目公司承担，建设期计入项目总投资，运营期计入项目运营成本。</w:t>
      </w:r>
    </w:p>
    <w:p>
      <w:pPr>
        <w:tabs>
          <w:tab w:val="clear" w:pos="3261"/>
          <w:tab w:val="clear" w:pos="4536"/>
        </w:tabs>
        <w:adjustRightInd w:val="0"/>
        <w:snapToGrid w:val="0"/>
        <w:spacing w:line="360" w:lineRule="auto"/>
        <w:ind w:firstLine="560" w:firstLineChars="200"/>
        <w:rPr>
          <w:color w:val="000000"/>
        </w:rPr>
      </w:pPr>
      <w:r>
        <w:rPr>
          <w:rFonts w:hint="eastAsia"/>
          <w:color w:val="000000"/>
        </w:rPr>
        <w:t>划拨方式取得的土地应归属于平顶山市林业局，由项目公司无偿使用。流转的土地，应在《</w:t>
      </w:r>
      <w:r>
        <w:rPr>
          <w:color w:val="000000"/>
        </w:rPr>
        <w:t>PPP项目合同》明确项目公司为土地实际使用人，并支付土地流转费用。</w:t>
      </w:r>
      <w:r>
        <w:rPr>
          <w:rFonts w:hint="eastAsia"/>
          <w:color w:val="000000"/>
          <w:szCs w:val="24"/>
        </w:rPr>
        <w:t>根据市委书记专题办公会议纪要，本项目土地流转事宜办理主体为</w:t>
      </w:r>
      <w:r>
        <w:rPr>
          <w:color w:val="000000"/>
        </w:rPr>
        <w:t>平顶山市财信投资有限责任公司</w:t>
      </w:r>
      <w:r>
        <w:rPr>
          <w:rFonts w:hint="eastAsia"/>
          <w:color w:val="000000"/>
        </w:rPr>
        <w:t>，林业部门及相关部门负责统筹协调。</w:t>
      </w:r>
    </w:p>
    <w:p>
      <w:pPr>
        <w:tabs>
          <w:tab w:val="clear" w:pos="3261"/>
          <w:tab w:val="clear" w:pos="4536"/>
        </w:tabs>
        <w:adjustRightInd w:val="0"/>
        <w:snapToGrid w:val="0"/>
        <w:spacing w:line="360" w:lineRule="auto"/>
        <w:ind w:firstLine="560" w:firstLineChars="200"/>
        <w:rPr>
          <w:color w:val="000000"/>
        </w:rPr>
      </w:pPr>
      <w:r>
        <w:rPr>
          <w:rFonts w:hint="eastAsia"/>
          <w:color w:val="000000"/>
        </w:rPr>
        <w:t>项目公司</w:t>
      </w:r>
      <w:r>
        <w:rPr>
          <w:color w:val="000000"/>
          <w:szCs w:val="24"/>
        </w:rPr>
        <w:t>按照乡（镇、办）流转的总土地面积与乡（镇、办）签订土地</w:t>
      </w:r>
      <w:r>
        <w:rPr>
          <w:rFonts w:hint="eastAsia"/>
          <w:color w:val="000000"/>
          <w:szCs w:val="24"/>
        </w:rPr>
        <w:t>流转</w:t>
      </w:r>
      <w:r>
        <w:rPr>
          <w:color w:val="000000"/>
          <w:szCs w:val="24"/>
        </w:rPr>
        <w:t>合同。集体土地所有权人或集体土地承包人共同与村、组签订土地流转委托合同，并由所在村民小组签章许可，村委会主任签字并加盖村民委员会公章，将土地经营使用权流转到村民委员会，由村民委员会与乡（镇、办）签订土地流转委托合同，由司法部门对合同进行公证。</w:t>
      </w:r>
    </w:p>
    <w:p>
      <w:pPr>
        <w:tabs>
          <w:tab w:val="clear" w:pos="3261"/>
          <w:tab w:val="clear" w:pos="4536"/>
        </w:tabs>
        <w:adjustRightInd w:val="0"/>
        <w:snapToGrid w:val="0"/>
        <w:spacing w:line="360" w:lineRule="auto"/>
        <w:ind w:firstLine="560" w:firstLineChars="200"/>
        <w:rPr>
          <w:color w:val="000000"/>
          <w:szCs w:val="24"/>
        </w:rPr>
      </w:pPr>
      <w:r>
        <w:rPr>
          <w:rFonts w:hint="eastAsia"/>
          <w:color w:val="000000"/>
          <w:szCs w:val="24"/>
        </w:rPr>
        <w:t>本项目</w:t>
      </w:r>
      <w:r>
        <w:rPr>
          <w:color w:val="000000"/>
          <w:szCs w:val="24"/>
        </w:rPr>
        <w:t>拟建国家储备林基地179048.70亩，</w:t>
      </w:r>
      <w:r>
        <w:rPr>
          <w:rFonts w:hint="eastAsia"/>
          <w:color w:val="000000"/>
          <w:szCs w:val="24"/>
        </w:rPr>
        <w:t>除3743.50亩土地为划拨</w:t>
      </w:r>
      <w:r>
        <w:rPr>
          <w:color w:val="000000"/>
          <w:szCs w:val="24"/>
        </w:rPr>
        <w:t>外，</w:t>
      </w:r>
      <w:r>
        <w:rPr>
          <w:rFonts w:hint="eastAsia"/>
          <w:color w:val="000000"/>
          <w:szCs w:val="24"/>
        </w:rPr>
        <w:t>其他</w:t>
      </w:r>
      <w:r>
        <w:rPr>
          <w:color w:val="000000"/>
          <w:szCs w:val="24"/>
        </w:rPr>
        <w:t>用地需采用土地流转的方式。</w:t>
      </w:r>
    </w:p>
    <w:p>
      <w:pPr>
        <w:tabs>
          <w:tab w:val="clear" w:pos="3261"/>
          <w:tab w:val="clear" w:pos="4536"/>
        </w:tabs>
        <w:adjustRightInd w:val="0"/>
        <w:snapToGrid w:val="0"/>
        <w:spacing w:line="360" w:lineRule="auto"/>
        <w:ind w:firstLine="560" w:firstLineChars="200"/>
        <w:rPr>
          <w:color w:val="000000"/>
          <w:szCs w:val="24"/>
        </w:rPr>
      </w:pPr>
      <w:r>
        <w:rPr>
          <w:rFonts w:hint="eastAsia"/>
          <w:color w:val="000000"/>
          <w:szCs w:val="24"/>
        </w:rPr>
        <w:t>北部山区建设项目，</w:t>
      </w:r>
      <w:r>
        <w:rPr>
          <w:color w:val="000000"/>
          <w:szCs w:val="24"/>
        </w:rPr>
        <w:t>共需造林地面积为86832.80亩，</w:t>
      </w:r>
      <w:r>
        <w:rPr>
          <w:rFonts w:hint="eastAsia"/>
          <w:color w:val="000000"/>
          <w:szCs w:val="24"/>
        </w:rPr>
        <w:t>其中</w:t>
      </w:r>
      <w:r>
        <w:rPr>
          <w:color w:val="000000"/>
          <w:szCs w:val="24"/>
        </w:rPr>
        <w:t>2743.50</w:t>
      </w:r>
      <w:r>
        <w:rPr>
          <w:rFonts w:hint="eastAsia"/>
          <w:color w:val="000000"/>
          <w:szCs w:val="24"/>
        </w:rPr>
        <w:t>亩（包括宜林地298.20亩，有林地</w:t>
      </w:r>
      <w:r>
        <w:rPr>
          <w:color w:val="000000"/>
          <w:szCs w:val="24"/>
        </w:rPr>
        <w:t>2445.3</w:t>
      </w:r>
      <w:r>
        <w:rPr>
          <w:rFonts w:hint="eastAsia"/>
          <w:color w:val="000000"/>
          <w:szCs w:val="24"/>
        </w:rPr>
        <w:t>0</w:t>
      </w:r>
      <w:r>
        <w:rPr>
          <w:color w:val="000000"/>
          <w:szCs w:val="24"/>
        </w:rPr>
        <w:t>亩</w:t>
      </w:r>
      <w:r>
        <w:rPr>
          <w:rFonts w:hint="eastAsia"/>
          <w:color w:val="000000"/>
          <w:szCs w:val="24"/>
        </w:rPr>
        <w:t>）土地为划拨，</w:t>
      </w:r>
      <w:r>
        <w:rPr>
          <w:color w:val="000000"/>
          <w:szCs w:val="24"/>
        </w:rPr>
        <w:t>需</w:t>
      </w:r>
      <w:r>
        <w:rPr>
          <w:rFonts w:hint="eastAsia"/>
          <w:color w:val="000000"/>
          <w:szCs w:val="24"/>
        </w:rPr>
        <w:t>流转</w:t>
      </w:r>
      <w:r>
        <w:rPr>
          <w:color w:val="000000"/>
          <w:szCs w:val="24"/>
        </w:rPr>
        <w:t>土地面积为84089.30亩。土地</w:t>
      </w:r>
      <w:r>
        <w:rPr>
          <w:rFonts w:hint="eastAsia"/>
          <w:color w:val="000000"/>
          <w:szCs w:val="24"/>
        </w:rPr>
        <w:t>流转</w:t>
      </w:r>
      <w:r>
        <w:rPr>
          <w:color w:val="000000"/>
          <w:szCs w:val="24"/>
        </w:rPr>
        <w:t>费结合当地实际土地</w:t>
      </w:r>
      <w:r>
        <w:rPr>
          <w:rFonts w:hint="eastAsia"/>
          <w:color w:val="000000"/>
          <w:szCs w:val="24"/>
        </w:rPr>
        <w:t>流转</w:t>
      </w:r>
      <w:r>
        <w:rPr>
          <w:color w:val="000000"/>
          <w:szCs w:val="24"/>
        </w:rPr>
        <w:t>价格估算，一般耕地6727.0亩按每亩每年900元，坡耕地25448.2亩按每亩每年500元，宜林地34561.7亩按每亩每年300元计取</w:t>
      </w:r>
      <w:r>
        <w:rPr>
          <w:rFonts w:hint="eastAsia"/>
          <w:color w:val="000000"/>
          <w:szCs w:val="24"/>
        </w:rPr>
        <w:t>，有林地（疏林地）</w:t>
      </w:r>
      <w:r>
        <w:rPr>
          <w:color w:val="000000"/>
          <w:szCs w:val="24"/>
        </w:rPr>
        <w:t>17352.4亩</w:t>
      </w:r>
      <w:r>
        <w:rPr>
          <w:rFonts w:hint="eastAsia"/>
          <w:color w:val="000000"/>
          <w:szCs w:val="24"/>
        </w:rPr>
        <w:t>建设期一次性支付每亩</w:t>
      </w:r>
      <w:r>
        <w:rPr>
          <w:color w:val="000000"/>
          <w:szCs w:val="24"/>
        </w:rPr>
        <w:t>3500元林地流转费</w:t>
      </w:r>
      <w:r>
        <w:rPr>
          <w:rFonts w:hint="eastAsia"/>
          <w:color w:val="000000"/>
          <w:szCs w:val="24"/>
        </w:rPr>
        <w:t>，</w:t>
      </w:r>
      <w:r>
        <w:rPr>
          <w:color w:val="000000"/>
          <w:szCs w:val="24"/>
        </w:rPr>
        <w:t>有林地</w:t>
      </w:r>
      <w:r>
        <w:rPr>
          <w:rFonts w:hint="eastAsia"/>
          <w:color w:val="000000"/>
          <w:szCs w:val="24"/>
        </w:rPr>
        <w:t>（疏林地）</w:t>
      </w:r>
      <w:r>
        <w:rPr>
          <w:color w:val="000000"/>
          <w:szCs w:val="24"/>
        </w:rPr>
        <w:t>运营期每亩每年</w:t>
      </w:r>
      <w:r>
        <w:rPr>
          <w:rFonts w:hint="eastAsia"/>
          <w:color w:val="000000"/>
          <w:szCs w:val="24"/>
        </w:rPr>
        <w:t>500元。</w:t>
      </w:r>
    </w:p>
    <w:p>
      <w:pPr>
        <w:tabs>
          <w:tab w:val="clear" w:pos="3261"/>
          <w:tab w:val="clear" w:pos="4536"/>
        </w:tabs>
        <w:adjustRightInd w:val="0"/>
        <w:snapToGrid w:val="0"/>
        <w:spacing w:line="360" w:lineRule="auto"/>
        <w:ind w:firstLine="560" w:firstLineChars="200"/>
        <w:rPr>
          <w:color w:val="000000"/>
          <w:szCs w:val="24"/>
        </w:rPr>
      </w:pPr>
      <w:r>
        <w:rPr>
          <w:rFonts w:hint="eastAsia"/>
          <w:color w:val="000000"/>
          <w:szCs w:val="24"/>
        </w:rPr>
        <w:t>湛河区国家储备林基地建设项目</w:t>
      </w:r>
      <w:r>
        <w:rPr>
          <w:color w:val="000000"/>
          <w:szCs w:val="24"/>
        </w:rPr>
        <w:t>，共需新造林地面积20000.00亩，造林地类全部为一般耕地，其中5757.00亩已由政府先行流转，需</w:t>
      </w:r>
      <w:r>
        <w:rPr>
          <w:rFonts w:hint="eastAsia"/>
          <w:color w:val="000000"/>
          <w:szCs w:val="24"/>
        </w:rPr>
        <w:t>流转</w:t>
      </w:r>
      <w:r>
        <w:rPr>
          <w:color w:val="000000"/>
          <w:szCs w:val="24"/>
        </w:rPr>
        <w:t>土地面积为14243.00亩。土地</w:t>
      </w:r>
      <w:r>
        <w:rPr>
          <w:rFonts w:hint="eastAsia"/>
          <w:color w:val="000000"/>
          <w:szCs w:val="24"/>
        </w:rPr>
        <w:t>流转</w:t>
      </w:r>
      <w:r>
        <w:rPr>
          <w:color w:val="000000"/>
          <w:szCs w:val="24"/>
        </w:rPr>
        <w:t>费结合当地实际土地</w:t>
      </w:r>
      <w:r>
        <w:rPr>
          <w:rFonts w:hint="eastAsia"/>
          <w:color w:val="000000"/>
          <w:szCs w:val="24"/>
        </w:rPr>
        <w:t>流转</w:t>
      </w:r>
      <w:r>
        <w:rPr>
          <w:color w:val="000000"/>
          <w:szCs w:val="24"/>
        </w:rPr>
        <w:t>价格估算，一般耕地按每亩每年900元。</w:t>
      </w:r>
    </w:p>
    <w:p>
      <w:pPr>
        <w:tabs>
          <w:tab w:val="clear" w:pos="3261"/>
          <w:tab w:val="clear" w:pos="4536"/>
        </w:tabs>
        <w:adjustRightInd w:val="0"/>
        <w:snapToGrid w:val="0"/>
        <w:spacing w:line="360" w:lineRule="auto"/>
        <w:ind w:firstLine="560" w:firstLineChars="200"/>
        <w:rPr>
          <w:color w:val="000000"/>
          <w:szCs w:val="24"/>
        </w:rPr>
      </w:pPr>
      <w:r>
        <w:rPr>
          <w:rFonts w:hint="eastAsia"/>
          <w:color w:val="000000"/>
          <w:szCs w:val="24"/>
        </w:rPr>
        <w:t>城乡一体化示范区、高新区建设项目，</w:t>
      </w:r>
      <w:r>
        <w:rPr>
          <w:color w:val="000000"/>
          <w:szCs w:val="24"/>
        </w:rPr>
        <w:t>需新造林地面积</w:t>
      </w:r>
      <w:r>
        <w:rPr>
          <w:rFonts w:hint="eastAsia"/>
          <w:color w:val="000000"/>
          <w:szCs w:val="24"/>
        </w:rPr>
        <w:t>为</w:t>
      </w:r>
      <w:r>
        <w:rPr>
          <w:color w:val="000000"/>
          <w:szCs w:val="24"/>
        </w:rPr>
        <w:t>61715.90</w:t>
      </w:r>
      <w:r>
        <w:rPr>
          <w:rFonts w:hint="eastAsia"/>
          <w:color w:val="000000"/>
          <w:szCs w:val="24"/>
        </w:rPr>
        <w:t>亩，</w:t>
      </w:r>
      <w:r>
        <w:rPr>
          <w:rFonts w:hint="eastAsia"/>
          <w:bCs/>
          <w:color w:val="000000"/>
        </w:rPr>
        <w:t>其中1000亩为划拨用地</w:t>
      </w:r>
      <w:r>
        <w:rPr>
          <w:rFonts w:hint="eastAsia"/>
          <w:color w:val="000000"/>
          <w:szCs w:val="24"/>
        </w:rPr>
        <w:t>，其余用地均为</w:t>
      </w:r>
      <w:r>
        <w:rPr>
          <w:color w:val="000000"/>
          <w:szCs w:val="24"/>
        </w:rPr>
        <w:t>一般耕地</w:t>
      </w:r>
      <w:r>
        <w:rPr>
          <w:rFonts w:hint="eastAsia"/>
          <w:color w:val="000000"/>
          <w:szCs w:val="24"/>
        </w:rPr>
        <w:t>，</w:t>
      </w:r>
      <w:r>
        <w:rPr>
          <w:color w:val="000000"/>
          <w:szCs w:val="24"/>
        </w:rPr>
        <w:t>需</w:t>
      </w:r>
      <w:r>
        <w:rPr>
          <w:rFonts w:hint="eastAsia"/>
          <w:color w:val="000000"/>
          <w:szCs w:val="24"/>
        </w:rPr>
        <w:t>流转</w:t>
      </w:r>
      <w:r>
        <w:rPr>
          <w:color w:val="000000"/>
          <w:szCs w:val="24"/>
        </w:rPr>
        <w:t>土地面积为60715.90亩，土地</w:t>
      </w:r>
      <w:r>
        <w:rPr>
          <w:rFonts w:hint="eastAsia"/>
          <w:color w:val="000000"/>
          <w:szCs w:val="24"/>
        </w:rPr>
        <w:t>流转</w:t>
      </w:r>
      <w:r>
        <w:rPr>
          <w:color w:val="000000"/>
          <w:szCs w:val="24"/>
        </w:rPr>
        <w:t>费结合当地实际土地</w:t>
      </w:r>
      <w:r>
        <w:rPr>
          <w:rFonts w:hint="eastAsia"/>
          <w:color w:val="000000"/>
          <w:szCs w:val="24"/>
        </w:rPr>
        <w:t>流转</w:t>
      </w:r>
      <w:r>
        <w:rPr>
          <w:color w:val="000000"/>
          <w:szCs w:val="24"/>
        </w:rPr>
        <w:t>价格估算，一般耕地按每亩每年900元。</w:t>
      </w:r>
    </w:p>
    <w:p>
      <w:pPr>
        <w:tabs>
          <w:tab w:val="clear" w:pos="3261"/>
          <w:tab w:val="clear" w:pos="4536"/>
        </w:tabs>
        <w:adjustRightInd w:val="0"/>
        <w:snapToGrid w:val="0"/>
        <w:spacing w:line="360" w:lineRule="auto"/>
        <w:ind w:firstLine="560" w:firstLineChars="200"/>
        <w:rPr>
          <w:color w:val="000000"/>
          <w:szCs w:val="24"/>
        </w:rPr>
      </w:pPr>
      <w:r>
        <w:rPr>
          <w:color w:val="000000"/>
          <w:szCs w:val="24"/>
        </w:rPr>
        <w:t>石龙区国家储备林建设项目，项目需新造林地面积为10500亩，土地权属为集体所有。项目营造林所涉及的土地性质为集体，集体土地计算流转费。土地流转费按400元/年/亩，建设期6年，运营期19年；建设期每年土地流转费按项目年度规模计算，运营期每年土地流转费按项目规模计算。</w:t>
      </w:r>
    </w:p>
    <w:p>
      <w:pPr>
        <w:spacing w:line="360" w:lineRule="auto"/>
        <w:rPr>
          <w:color w:val="000000"/>
          <w:szCs w:val="24"/>
        </w:rPr>
      </w:pPr>
      <w:r>
        <w:rPr>
          <w:rFonts w:hint="eastAsia"/>
          <w:color w:val="000000"/>
          <w:szCs w:val="24"/>
        </w:rPr>
        <w:t>土地流转费用取费标准依据项目可行性研究报告，若项目合作期实际费用取费标准低于可研标准时，以实际发生取费标准分别计入建设投资和运营成本；若实际费用取费标准高于可研标准时，根据平顶山市《关于加快推进市本级国家储备林基地建设项目会议纪要》高出部分相关支出由各项目区域所在地的县区政府承担。</w:t>
      </w:r>
    </w:p>
    <w:p>
      <w:pPr>
        <w:pStyle w:val="3"/>
        <w:ind w:firstLine="562"/>
        <w:rPr>
          <w:color w:val="000000" w:themeColor="text1"/>
          <w14:textFill>
            <w14:solidFill>
              <w14:schemeClr w14:val="tx1"/>
            </w14:solidFill>
          </w14:textFill>
        </w:rPr>
      </w:pPr>
      <w:bookmarkStart w:id="18" w:name="_Toc3974722"/>
      <w:r>
        <w:rPr>
          <w:rFonts w:hint="eastAsia"/>
          <w:color w:val="000000" w:themeColor="text1"/>
          <w14:textFill>
            <w14:solidFill>
              <w14:schemeClr w14:val="tx1"/>
            </w14:solidFill>
          </w14:textFill>
        </w:rPr>
        <w:t>5、项目融资交割</w:t>
      </w:r>
      <w:bookmarkEnd w:id="18"/>
    </w:p>
    <w:p>
      <w:r>
        <w:rPr>
          <w:rFonts w:hint="eastAsia"/>
        </w:rPr>
        <w:t>项目公司应在成立后120日内完成融资交割。</w:t>
      </w:r>
    </w:p>
    <w:p>
      <w:pPr>
        <w:pStyle w:val="3"/>
        <w:ind w:firstLine="562"/>
        <w:rPr>
          <w:color w:val="000000" w:themeColor="text1"/>
          <w14:textFill>
            <w14:solidFill>
              <w14:schemeClr w14:val="tx1"/>
            </w14:solidFill>
          </w14:textFill>
        </w:rPr>
      </w:pPr>
      <w:bookmarkStart w:id="19" w:name="_Toc3974723"/>
      <w:r>
        <w:rPr>
          <w:rFonts w:hint="eastAsia"/>
          <w:color w:val="000000" w:themeColor="text1"/>
          <w14:textFill>
            <w14:solidFill>
              <w14:schemeClr w14:val="tx1"/>
            </w14:solidFill>
          </w14:textFill>
        </w:rPr>
        <w:t>6、回报机制</w:t>
      </w:r>
      <w:bookmarkEnd w:id="19"/>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本项目回报机制为可行性缺口补助。</w:t>
      </w:r>
    </w:p>
    <w:p>
      <w:pPr>
        <w:ind w:firstLine="562" w:firstLineChars="200"/>
        <w:jc w:val="left"/>
        <w:rPr>
          <w:b/>
          <w:szCs w:val="24"/>
        </w:rPr>
      </w:pPr>
      <w:r>
        <w:rPr>
          <w:rFonts w:hint="eastAsia"/>
          <w:b/>
          <w:color w:val="000000" w:themeColor="text1"/>
          <w14:textFill>
            <w14:solidFill>
              <w14:schemeClr w14:val="tx1"/>
            </w14:solidFill>
          </w14:textFill>
        </w:rPr>
        <w:t>（1）</w:t>
      </w:r>
      <w:r>
        <w:rPr>
          <w:rFonts w:hint="eastAsia"/>
          <w:b/>
          <w:szCs w:val="24"/>
        </w:rPr>
        <w:t>可用性服务费</w:t>
      </w:r>
    </w:p>
    <w:p>
      <w:pPr>
        <w:tabs>
          <w:tab w:val="clear" w:pos="3261"/>
          <w:tab w:val="clear" w:pos="4536"/>
        </w:tabs>
        <w:adjustRightInd w:val="0"/>
        <w:snapToGrid w:val="0"/>
        <w:spacing w:line="360" w:lineRule="auto"/>
        <w:ind w:firstLine="560" w:firstLineChars="200"/>
        <w:rPr>
          <w:color w:val="000000"/>
        </w:rPr>
      </w:pPr>
      <w:r>
        <w:rPr>
          <w:color w:val="000000"/>
        </w:rPr>
        <w:t>根据财金[2015]21号文</w:t>
      </w:r>
      <w:r>
        <w:rPr>
          <w:rFonts w:hint="eastAsia"/>
          <w:color w:val="000000"/>
        </w:rPr>
        <w:t>，</w:t>
      </w:r>
      <w:r>
        <w:rPr>
          <w:color w:val="000000"/>
        </w:rPr>
        <w:t>可用性服务费以市财政部门、审计部门认定的项目公司对本项目的投资额作为基数，以政府采购程序确定的合理利润率及</w:t>
      </w:r>
      <w:r>
        <w:rPr>
          <w:rFonts w:hint="eastAsia"/>
          <w:color w:val="000000"/>
        </w:rPr>
        <w:t>年度</w:t>
      </w:r>
      <w:r>
        <w:rPr>
          <w:color w:val="000000"/>
        </w:rPr>
        <w:t>折现率作为测算依据，</w:t>
      </w:r>
      <w:r>
        <w:rPr>
          <w:rFonts w:hint="eastAsia"/>
          <w:color w:val="000000"/>
        </w:rPr>
        <w:t>结合绩效考核结果，</w:t>
      </w:r>
      <w:r>
        <w:rPr>
          <w:color w:val="000000"/>
        </w:rPr>
        <w:t>项目每年可用性服务费计算公式：</w:t>
      </w:r>
    </w:p>
    <w:p>
      <w:pPr>
        <w:tabs>
          <w:tab w:val="clear" w:pos="3261"/>
          <w:tab w:val="clear" w:pos="4536"/>
        </w:tabs>
        <w:adjustRightInd w:val="0"/>
        <w:snapToGrid w:val="0"/>
        <w:spacing w:line="360" w:lineRule="auto"/>
        <w:ind w:firstLine="480" w:firstLineChars="200"/>
        <w:jc w:val="left"/>
        <w:rPr>
          <w:color w:val="000000"/>
        </w:rPr>
      </w:pPr>
      <m:oMath>
        <m:r>
          <m:rPr>
            <m:sty m:val="p"/>
          </m:rPr>
          <w:rPr>
            <w:rFonts w:ascii="Cambria Math" w:hAnsi="Cambria Math"/>
            <w:color w:val="000000"/>
            <w:sz w:val="24"/>
            <w:szCs w:val="22"/>
          </w:rPr>
          <m:t>可用性服务费=</m:t>
        </m:r>
        <m:f>
          <m:fPr>
            <m:ctrlPr>
              <w:rPr>
                <w:rFonts w:ascii="Cambria Math" w:hAnsi="Cambria Math"/>
                <w:color w:val="000000"/>
                <w:sz w:val="24"/>
                <w:szCs w:val="22"/>
              </w:rPr>
            </m:ctrlPr>
          </m:fPr>
          <m:num>
            <m:r>
              <m:rPr>
                <m:sty m:val="p"/>
              </m:rPr>
              <w:rPr>
                <w:rFonts w:ascii="Cambria Math" w:hAnsi="Cambria Math"/>
                <w:color w:val="000000"/>
                <w:sz w:val="24"/>
                <w:szCs w:val="22"/>
              </w:rPr>
              <m:t>项目全部建设成本×（1+合理利润率）×（1+年度折现率</m:t>
            </m:r>
            <m:sSup>
              <m:sSupPr>
                <m:ctrlPr>
                  <w:rPr>
                    <w:rFonts w:ascii="Cambria Math" w:hAnsi="Cambria Math"/>
                    <w:color w:val="000000"/>
                    <w:sz w:val="24"/>
                    <w:szCs w:val="22"/>
                  </w:rPr>
                </m:ctrlPr>
              </m:sSupPr>
              <m:e>
                <m:r>
                  <m:rPr>
                    <m:sty m:val="p"/>
                  </m:rPr>
                  <w:rPr>
                    <w:rFonts w:ascii="Cambria Math" w:hAnsi="Cambria Math"/>
                    <w:color w:val="000000"/>
                    <w:sz w:val="24"/>
                    <w:szCs w:val="22"/>
                  </w:rPr>
                  <m:t>）</m:t>
                </m:r>
                <m:ctrlPr>
                  <w:rPr>
                    <w:rFonts w:ascii="Cambria Math" w:hAnsi="Cambria Math"/>
                    <w:color w:val="000000"/>
                    <w:sz w:val="24"/>
                    <w:szCs w:val="22"/>
                  </w:rPr>
                </m:ctrlPr>
              </m:e>
              <m:sup>
                <m:r>
                  <m:rPr>
                    <m:sty m:val="p"/>
                  </m:rPr>
                  <w:rPr>
                    <w:rFonts w:ascii="Cambria Math" w:hAnsi="Cambria Math"/>
                    <w:color w:val="000000"/>
                    <w:sz w:val="24"/>
                    <w:szCs w:val="22"/>
                  </w:rPr>
                  <m:t>n</m:t>
                </m:r>
                <m:ctrlPr>
                  <w:rPr>
                    <w:rFonts w:ascii="Cambria Math" w:hAnsi="Cambria Math"/>
                    <w:color w:val="000000"/>
                    <w:sz w:val="24"/>
                    <w:szCs w:val="22"/>
                  </w:rPr>
                </m:ctrlPr>
              </m:sup>
            </m:sSup>
            <m:ctrlPr>
              <w:rPr>
                <w:rFonts w:ascii="Cambria Math" w:hAnsi="Cambria Math"/>
                <w:color w:val="000000"/>
                <w:sz w:val="24"/>
                <w:szCs w:val="22"/>
              </w:rPr>
            </m:ctrlPr>
          </m:num>
          <m:den>
            <m:r>
              <m:rPr>
                <m:sty m:val="p"/>
              </m:rPr>
              <w:rPr>
                <w:rFonts w:ascii="Cambria Math" w:hAnsi="Cambria Math"/>
                <w:color w:val="000000"/>
                <w:sz w:val="24"/>
                <w:szCs w:val="22"/>
              </w:rPr>
              <m:t>财政运营补贴周期（年）</m:t>
            </m:r>
            <m:ctrlPr>
              <w:rPr>
                <w:rFonts w:ascii="Cambria Math" w:hAnsi="Cambria Math"/>
                <w:color w:val="000000"/>
                <w:sz w:val="24"/>
                <w:szCs w:val="22"/>
              </w:rPr>
            </m:ctrlPr>
          </m:den>
        </m:f>
      </m:oMath>
      <w:r>
        <w:rPr>
          <w:color w:val="000000"/>
          <w:sz w:val="24"/>
          <w:szCs w:val="22"/>
        </w:rPr>
        <w:t>×建设期绩效考核系数</w:t>
      </w:r>
    </w:p>
    <w:p>
      <w:pPr>
        <w:tabs>
          <w:tab w:val="clear" w:pos="3261"/>
          <w:tab w:val="clear" w:pos="4536"/>
        </w:tabs>
        <w:adjustRightInd w:val="0"/>
        <w:snapToGrid w:val="0"/>
        <w:spacing w:line="360" w:lineRule="auto"/>
        <w:ind w:firstLine="560" w:firstLineChars="200"/>
        <w:rPr>
          <w:color w:val="000000"/>
          <w:szCs w:val="24"/>
        </w:rPr>
      </w:pPr>
      <w:r>
        <w:rPr>
          <w:rFonts w:hint="eastAsia"/>
          <w:color w:val="000000"/>
          <w:szCs w:val="24"/>
        </w:rPr>
        <w:t>1）本</w:t>
      </w:r>
      <w:r>
        <w:rPr>
          <w:color w:val="000000"/>
          <w:szCs w:val="24"/>
        </w:rPr>
        <w:t>项目</w:t>
      </w:r>
      <w:r>
        <w:rPr>
          <w:rFonts w:hint="eastAsia"/>
          <w:color w:val="000000"/>
          <w:szCs w:val="24"/>
        </w:rPr>
        <w:t>项目全部建设成本以审计部门（或第三方机构）出具的竣工决算审计报告确认的数额核减建设期实际贴息或其他补助资金后的金额为准。</w:t>
      </w:r>
    </w:p>
    <w:p>
      <w:pPr>
        <w:tabs>
          <w:tab w:val="clear" w:pos="3261"/>
          <w:tab w:val="clear" w:pos="4536"/>
        </w:tabs>
        <w:adjustRightInd w:val="0"/>
        <w:snapToGrid w:val="0"/>
        <w:spacing w:line="360" w:lineRule="auto"/>
        <w:ind w:firstLine="560" w:firstLineChars="200"/>
        <w:rPr>
          <w:color w:val="000000"/>
          <w:szCs w:val="24"/>
        </w:rPr>
      </w:pPr>
      <w:r>
        <w:rPr>
          <w:rFonts w:hint="eastAsia"/>
          <w:color w:val="000000"/>
          <w:szCs w:val="24"/>
        </w:rPr>
        <w:t>按照林业项目相关补助政策，项目在建设期内可获得相应的贷款</w:t>
      </w:r>
    </w:p>
    <w:p>
      <w:pPr>
        <w:tabs>
          <w:tab w:val="clear" w:pos="3261"/>
          <w:tab w:val="clear" w:pos="4536"/>
        </w:tabs>
        <w:adjustRightInd w:val="0"/>
        <w:snapToGrid w:val="0"/>
        <w:spacing w:line="360" w:lineRule="auto"/>
        <w:ind w:firstLine="0" w:firstLineChars="0"/>
        <w:rPr>
          <w:color w:val="000000"/>
          <w:szCs w:val="24"/>
        </w:rPr>
      </w:pPr>
      <w:r>
        <w:rPr>
          <w:rFonts w:hint="eastAsia"/>
          <w:color w:val="000000"/>
          <w:szCs w:val="24"/>
        </w:rPr>
        <w:t>贴息或其他补助资金，该补助应抵减项目全部建设成本。但考虑到建</w:t>
      </w:r>
    </w:p>
    <w:p>
      <w:pPr>
        <w:tabs>
          <w:tab w:val="clear" w:pos="3261"/>
          <w:tab w:val="clear" w:pos="4536"/>
        </w:tabs>
        <w:adjustRightInd w:val="0"/>
        <w:snapToGrid w:val="0"/>
        <w:spacing w:line="360" w:lineRule="auto"/>
        <w:ind w:firstLine="0" w:firstLineChars="0"/>
        <w:rPr>
          <w:color w:val="000000"/>
          <w:szCs w:val="24"/>
        </w:rPr>
      </w:pPr>
      <w:r>
        <w:rPr>
          <w:rFonts w:hint="eastAsia"/>
          <w:color w:val="000000"/>
          <w:szCs w:val="24"/>
        </w:rPr>
        <w:t>设期贷款贴息或其他补助资金到位的不确定性及延后性，目前测算财</w:t>
      </w:r>
    </w:p>
    <w:p>
      <w:pPr>
        <w:tabs>
          <w:tab w:val="clear" w:pos="3261"/>
          <w:tab w:val="clear" w:pos="4536"/>
        </w:tabs>
        <w:adjustRightInd w:val="0"/>
        <w:snapToGrid w:val="0"/>
        <w:spacing w:line="360" w:lineRule="auto"/>
        <w:ind w:firstLine="0" w:firstLineChars="0"/>
        <w:rPr>
          <w:color w:val="000000"/>
          <w:szCs w:val="24"/>
        </w:rPr>
      </w:pPr>
      <w:r>
        <w:rPr>
          <w:rFonts w:hint="eastAsia"/>
          <w:color w:val="000000"/>
          <w:szCs w:val="24"/>
        </w:rPr>
        <w:t>政补贴时全部建设成本中暂未扣减建设期贷款贴息或其他补助资金，</w:t>
      </w:r>
    </w:p>
    <w:p>
      <w:pPr>
        <w:tabs>
          <w:tab w:val="clear" w:pos="3261"/>
          <w:tab w:val="clear" w:pos="4536"/>
        </w:tabs>
        <w:adjustRightInd w:val="0"/>
        <w:snapToGrid w:val="0"/>
        <w:spacing w:line="360" w:lineRule="auto"/>
        <w:ind w:firstLine="0" w:firstLineChars="0"/>
        <w:rPr>
          <w:color w:val="000000"/>
          <w:szCs w:val="24"/>
        </w:rPr>
      </w:pPr>
      <w:r>
        <w:rPr>
          <w:rFonts w:hint="eastAsia"/>
          <w:color w:val="000000"/>
          <w:szCs w:val="24"/>
        </w:rPr>
        <w:t>保证项目实施时即使实际贴息或其他补助资金到位延后，财政补贴也</w:t>
      </w:r>
    </w:p>
    <w:p>
      <w:pPr>
        <w:tabs>
          <w:tab w:val="clear" w:pos="3261"/>
          <w:tab w:val="clear" w:pos="4536"/>
        </w:tabs>
        <w:adjustRightInd w:val="0"/>
        <w:snapToGrid w:val="0"/>
        <w:spacing w:line="360" w:lineRule="auto"/>
        <w:ind w:firstLine="0" w:firstLineChars="0"/>
        <w:rPr>
          <w:color w:val="000000"/>
          <w:szCs w:val="24"/>
        </w:rPr>
      </w:pPr>
      <w:r>
        <w:rPr>
          <w:rFonts w:hint="eastAsia"/>
          <w:color w:val="000000"/>
          <w:szCs w:val="24"/>
        </w:rPr>
        <w:t>能够满足项目实际需求，降低了财政支出责任不足的风险，提高了财政支付的稳健性。</w:t>
      </w:r>
    </w:p>
    <w:p>
      <w:pPr>
        <w:ind w:firstLine="560" w:firstLineChars="200"/>
        <w:jc w:val="left"/>
        <w:rPr>
          <w:color w:val="000000"/>
          <w:szCs w:val="24"/>
        </w:rPr>
      </w:pPr>
      <w:r>
        <w:rPr>
          <w:rFonts w:hint="eastAsia"/>
          <w:color w:val="000000"/>
          <w:szCs w:val="24"/>
        </w:rPr>
        <w:t>项目全部建设成本</w:t>
      </w:r>
      <w:r>
        <w:rPr>
          <w:color w:val="000000"/>
          <w:szCs w:val="24"/>
        </w:rPr>
        <w:t>=工程建设费用+工程建设其他费用+预备费</w:t>
      </w:r>
      <w:r>
        <w:rPr>
          <w:rFonts w:hint="eastAsia"/>
          <w:color w:val="000000"/>
          <w:szCs w:val="24"/>
        </w:rPr>
        <w:t>+</w:t>
      </w:r>
      <w:r>
        <w:rPr>
          <w:color w:val="000000"/>
          <w:szCs w:val="24"/>
        </w:rPr>
        <w:t>建设</w:t>
      </w:r>
      <w:r>
        <w:rPr>
          <w:rFonts w:hint="eastAsia"/>
          <w:color w:val="000000"/>
          <w:szCs w:val="24"/>
        </w:rPr>
        <w:t>期利息</w:t>
      </w:r>
    </w:p>
    <w:p>
      <w:pPr>
        <w:ind w:firstLine="560" w:firstLineChars="200"/>
        <w:jc w:val="left"/>
        <w:rPr>
          <w:color w:val="000000"/>
          <w:szCs w:val="24"/>
        </w:rPr>
      </w:pPr>
      <w:r>
        <w:rPr>
          <w:rFonts w:hint="eastAsia"/>
          <w:color w:val="000000"/>
          <w:szCs w:val="24"/>
        </w:rPr>
        <w:t>2）建设期利率：4.95%；</w:t>
      </w:r>
    </w:p>
    <w:p>
      <w:pPr>
        <w:ind w:firstLine="560" w:firstLineChars="200"/>
        <w:jc w:val="left"/>
        <w:rPr>
          <w:color w:val="000000"/>
          <w:szCs w:val="24"/>
        </w:rPr>
      </w:pPr>
      <w:r>
        <w:rPr>
          <w:rFonts w:hint="eastAsia"/>
          <w:color w:val="000000"/>
          <w:szCs w:val="24"/>
        </w:rPr>
        <w:t>3）合理利润率：6.8%；</w:t>
      </w:r>
    </w:p>
    <w:p>
      <w:pPr>
        <w:ind w:firstLine="560" w:firstLineChars="200"/>
        <w:jc w:val="left"/>
        <w:rPr>
          <w:color w:val="000000"/>
          <w:szCs w:val="24"/>
        </w:rPr>
      </w:pPr>
      <w:r>
        <w:rPr>
          <w:rFonts w:hint="eastAsia"/>
          <w:color w:val="000000"/>
          <w:szCs w:val="24"/>
        </w:rPr>
        <w:t>4）折现率：4.9%；</w:t>
      </w:r>
    </w:p>
    <w:p>
      <w:pPr>
        <w:ind w:firstLine="560" w:firstLineChars="200"/>
        <w:jc w:val="left"/>
        <w:rPr>
          <w:color w:val="000000"/>
          <w:szCs w:val="24"/>
        </w:rPr>
      </w:pPr>
      <w:r>
        <w:rPr>
          <w:rFonts w:hint="eastAsia"/>
          <w:color w:val="000000"/>
          <w:szCs w:val="24"/>
        </w:rPr>
        <w:t>5）运营期第一年n取1。</w:t>
      </w:r>
    </w:p>
    <w:p>
      <w:pPr>
        <w:tabs>
          <w:tab w:val="left" w:pos="0"/>
          <w:tab w:val="left" w:pos="426"/>
        </w:tabs>
        <w:spacing w:line="360" w:lineRule="auto"/>
        <w:ind w:right="-57" w:firstLine="56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（2）运营绩效服务费</w:t>
      </w:r>
    </w:p>
    <w:p>
      <w:pPr>
        <w:tabs>
          <w:tab w:val="left" w:pos="0"/>
          <w:tab w:val="left" w:pos="426"/>
        </w:tabs>
        <w:spacing w:line="360" w:lineRule="auto"/>
        <w:ind w:right="-57" w:firstLine="560" w:firstLineChars="200"/>
      </w:pPr>
      <w:r>
        <w:rPr>
          <w:rFonts w:hint="eastAsia"/>
        </w:rPr>
        <w:t>运维绩效服务费=运维成本×（1+合理利润率）×运营绩效考核系数</w:t>
      </w:r>
    </w:p>
    <w:p>
      <w:pPr>
        <w:tabs>
          <w:tab w:val="left" w:pos="0"/>
          <w:tab w:val="left" w:pos="426"/>
        </w:tabs>
        <w:spacing w:line="360" w:lineRule="auto"/>
        <w:ind w:right="-57"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运维合理利润率按6.80%计算。</w:t>
      </w:r>
    </w:p>
    <w:p>
      <w:pPr>
        <w:tabs>
          <w:tab w:val="left" w:pos="0"/>
          <w:tab w:val="left" w:pos="426"/>
        </w:tabs>
        <w:spacing w:line="360" w:lineRule="auto"/>
        <w:ind w:right="-57"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1）运营维护成本：</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包括</w:t>
      </w:r>
      <w:r>
        <w:rPr>
          <w:bCs/>
          <w:color w:val="000000"/>
        </w:rPr>
        <w:t>主要外购原辅材料</w:t>
      </w:r>
      <w:r>
        <w:rPr>
          <w:rFonts w:hint="eastAsia"/>
          <w:bCs/>
          <w:color w:val="000000"/>
        </w:rPr>
        <w:t>、</w:t>
      </w:r>
      <w:r>
        <w:rPr>
          <w:bCs/>
          <w:color w:val="000000"/>
        </w:rPr>
        <w:t>外购燃料及动力费</w:t>
      </w:r>
      <w:r>
        <w:rPr>
          <w:rFonts w:hint="eastAsia"/>
          <w:bCs/>
          <w:color w:val="000000"/>
        </w:rPr>
        <w:t>、</w:t>
      </w:r>
      <w:r>
        <w:rPr>
          <w:bCs/>
          <w:color w:val="000000"/>
        </w:rPr>
        <w:t>采伐和短途运输费</w:t>
      </w:r>
      <w:r>
        <w:rPr>
          <w:rFonts w:hint="eastAsia"/>
          <w:bCs/>
          <w:color w:val="000000"/>
        </w:rPr>
        <w:t>、</w:t>
      </w:r>
      <w:r>
        <w:rPr>
          <w:bCs/>
          <w:color w:val="000000"/>
        </w:rPr>
        <w:t>人员工资与福利费</w:t>
      </w:r>
      <w:r>
        <w:rPr>
          <w:rFonts w:hint="eastAsia"/>
          <w:bCs/>
          <w:color w:val="000000"/>
        </w:rPr>
        <w:t>、</w:t>
      </w:r>
      <w:r>
        <w:rPr>
          <w:bCs/>
          <w:color w:val="000000"/>
        </w:rPr>
        <w:t>土地</w:t>
      </w:r>
      <w:r>
        <w:rPr>
          <w:rFonts w:hint="eastAsia"/>
          <w:bCs/>
          <w:color w:val="000000"/>
        </w:rPr>
        <w:t>流转</w:t>
      </w:r>
      <w:r>
        <w:rPr>
          <w:bCs/>
          <w:color w:val="000000"/>
        </w:rPr>
        <w:t>费</w:t>
      </w:r>
      <w:r>
        <w:rPr>
          <w:rFonts w:hint="eastAsia"/>
          <w:bCs/>
          <w:color w:val="000000"/>
        </w:rPr>
        <w:t>、</w:t>
      </w:r>
      <w:r>
        <w:rPr>
          <w:bCs/>
          <w:color w:val="000000"/>
        </w:rPr>
        <w:t>修理费</w:t>
      </w:r>
      <w:r>
        <w:rPr>
          <w:rFonts w:hint="eastAsia"/>
          <w:bCs/>
          <w:color w:val="000000"/>
        </w:rPr>
        <w:t>、</w:t>
      </w:r>
      <w:r>
        <w:rPr>
          <w:bCs/>
          <w:color w:val="000000"/>
        </w:rPr>
        <w:t>管护抚育费用</w:t>
      </w:r>
      <w:r>
        <w:rPr>
          <w:rFonts w:hint="eastAsia"/>
          <w:bCs/>
          <w:color w:val="000000"/>
        </w:rPr>
        <w:t>、销售</w:t>
      </w:r>
      <w:r>
        <w:rPr>
          <w:bCs/>
          <w:color w:val="000000"/>
        </w:rPr>
        <w:t>费用</w:t>
      </w:r>
      <w:r>
        <w:rPr>
          <w:rFonts w:hint="eastAsia"/>
          <w:bCs/>
          <w:color w:val="000000"/>
        </w:rPr>
        <w:t>、管理</w:t>
      </w:r>
      <w:r>
        <w:rPr>
          <w:bCs/>
          <w:color w:val="000000"/>
        </w:rPr>
        <w:t>监测</w:t>
      </w:r>
      <w:r>
        <w:rPr>
          <w:rFonts w:hint="eastAsia"/>
          <w:bCs/>
          <w:color w:val="000000"/>
        </w:rPr>
        <w:t>费用。</w:t>
      </w:r>
    </w:p>
    <w:p>
      <w:pPr>
        <w:widowControl/>
        <w:tabs>
          <w:tab w:val="clear" w:pos="3261"/>
          <w:tab w:val="clear" w:pos="4536"/>
        </w:tabs>
        <w:adjustRightInd w:val="0"/>
        <w:snapToGrid w:val="0"/>
        <w:spacing w:line="360" w:lineRule="auto"/>
        <w:ind w:firstLine="560" w:firstLineChars="200"/>
        <w:rPr>
          <w:bCs/>
          <w:color w:val="000000"/>
        </w:rPr>
        <w:sectPr>
          <w:pgSz w:w="11906" w:h="16838"/>
          <w:pgMar w:top="1440" w:right="1797" w:bottom="1440" w:left="1797" w:header="1021" w:footer="851" w:gutter="0"/>
          <w:pgNumType w:start="1"/>
          <w:cols w:space="425" w:num="1"/>
          <w:docGrid w:type="lines" w:linePitch="312" w:charSpace="0"/>
        </w:sectPr>
      </w:pPr>
    </w:p>
    <w:p>
      <w:pPr>
        <w:tabs>
          <w:tab w:val="clear" w:pos="3261"/>
          <w:tab w:val="clear" w:pos="4536"/>
        </w:tabs>
        <w:ind w:firstLine="562" w:firstLineChars="200"/>
        <w:jc w:val="center"/>
        <w:rPr>
          <w:b/>
          <w:color w:val="000000"/>
        </w:rPr>
      </w:pPr>
      <w:r>
        <w:rPr>
          <w:rFonts w:hint="eastAsia"/>
          <w:b/>
          <w:color w:val="000000"/>
        </w:rPr>
        <w:t>表3.1 项目运维</w:t>
      </w:r>
      <w:r>
        <w:rPr>
          <w:b/>
          <w:color w:val="000000"/>
        </w:rPr>
        <w:t>成本估算表（</w:t>
      </w:r>
      <w:r>
        <w:rPr>
          <w:rFonts w:hint="eastAsia"/>
          <w:b/>
          <w:color w:val="000000"/>
        </w:rPr>
        <w:t>万元</w:t>
      </w:r>
      <w:r>
        <w:rPr>
          <w:b/>
          <w:color w:val="000000"/>
        </w:rPr>
        <w:t>）</w:t>
      </w:r>
    </w:p>
    <w:p>
      <w:pPr>
        <w:tabs>
          <w:tab w:val="clear" w:pos="3261"/>
          <w:tab w:val="clear" w:pos="4536"/>
        </w:tabs>
        <w:ind w:firstLine="0" w:firstLineChars="0"/>
        <w:rPr>
          <w:rFonts w:eastAsia="等线"/>
          <w:color w:val="000000"/>
          <w:sz w:val="21"/>
          <w:szCs w:val="22"/>
        </w:rPr>
      </w:pPr>
      <w:r>
        <w:rPr>
          <w:rFonts w:eastAsia="等线"/>
          <w:sz w:val="21"/>
          <w:szCs w:val="22"/>
        </w:rPr>
        <w:drawing>
          <wp:inline distT="0" distB="0" distL="0" distR="0">
            <wp:extent cx="8858250" cy="4591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863330" cy="4593683"/>
                    </a:xfrm>
                    <a:prstGeom prst="rect">
                      <a:avLst/>
                    </a:prstGeom>
                    <a:noFill/>
                    <a:ln>
                      <a:noFill/>
                    </a:ln>
                  </pic:spPr>
                </pic:pic>
              </a:graphicData>
            </a:graphic>
          </wp:inline>
        </w:drawing>
      </w:r>
    </w:p>
    <w:p>
      <w:pPr>
        <w:tabs>
          <w:tab w:val="clear" w:pos="3261"/>
          <w:tab w:val="clear" w:pos="4536"/>
        </w:tabs>
        <w:adjustRightInd w:val="0"/>
        <w:snapToGrid w:val="0"/>
        <w:spacing w:line="360" w:lineRule="auto"/>
        <w:ind w:firstLine="0" w:firstLineChars="0"/>
        <w:jc w:val="left"/>
        <w:rPr>
          <w:rFonts w:eastAsia="等线"/>
          <w:color w:val="000000"/>
          <w:sz w:val="21"/>
          <w:szCs w:val="22"/>
        </w:rPr>
      </w:pPr>
      <w:r>
        <w:rPr>
          <w:rFonts w:eastAsia="等线"/>
          <w:sz w:val="21"/>
          <w:szCs w:val="22"/>
        </w:rPr>
        <w:drawing>
          <wp:inline distT="0" distB="0" distL="0" distR="0">
            <wp:extent cx="8846185" cy="49815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863330" cy="4990897"/>
                    </a:xfrm>
                    <a:prstGeom prst="rect">
                      <a:avLst/>
                    </a:prstGeom>
                    <a:noFill/>
                    <a:ln>
                      <a:noFill/>
                    </a:ln>
                  </pic:spPr>
                </pic:pic>
              </a:graphicData>
            </a:graphic>
          </wp:inline>
        </w:drawing>
      </w:r>
    </w:p>
    <w:p>
      <w:pPr>
        <w:tabs>
          <w:tab w:val="clear" w:pos="3261"/>
          <w:tab w:val="clear" w:pos="4536"/>
        </w:tabs>
        <w:adjustRightInd w:val="0"/>
        <w:snapToGrid w:val="0"/>
        <w:spacing w:line="360" w:lineRule="auto"/>
        <w:ind w:firstLine="0" w:firstLineChars="0"/>
        <w:jc w:val="left"/>
        <w:rPr>
          <w:rFonts w:eastAsia="等线"/>
          <w:color w:val="000000"/>
          <w:sz w:val="21"/>
          <w:szCs w:val="22"/>
        </w:rPr>
      </w:pPr>
    </w:p>
    <w:p>
      <w:pPr>
        <w:widowControl/>
        <w:tabs>
          <w:tab w:val="clear" w:pos="3261"/>
          <w:tab w:val="clear" w:pos="4536"/>
        </w:tabs>
        <w:adjustRightInd w:val="0"/>
        <w:snapToGrid w:val="0"/>
        <w:spacing w:line="360" w:lineRule="auto"/>
        <w:ind w:firstLine="0" w:firstLineChars="0"/>
        <w:rPr>
          <w:bCs/>
          <w:color w:val="000000"/>
        </w:rPr>
        <w:sectPr>
          <w:pgSz w:w="16838" w:h="11906" w:orient="landscape"/>
          <w:pgMar w:top="1797" w:right="1440" w:bottom="1797" w:left="1440" w:header="1021" w:footer="851" w:gutter="0"/>
          <w:cols w:space="425" w:num="1"/>
          <w:docGrid w:type="lines" w:linePitch="312" w:charSpace="0"/>
        </w:sectPr>
      </w:pPr>
    </w:p>
    <w:p>
      <w:pPr>
        <w:tabs>
          <w:tab w:val="clear" w:pos="3261"/>
          <w:tab w:val="clear" w:pos="4536"/>
        </w:tabs>
        <w:adjustRightInd w:val="0"/>
        <w:snapToGrid w:val="0"/>
        <w:ind w:firstLine="0" w:firstLineChars="0"/>
        <w:jc w:val="center"/>
        <w:rPr>
          <w:bCs/>
          <w:color w:val="000000"/>
        </w:rPr>
      </w:pPr>
      <w:r>
        <w:rPr>
          <w:rFonts w:hint="eastAsia"/>
          <w:bCs/>
          <w:color w:val="000000"/>
        </w:rPr>
        <w:t>表3.2  项目运营期需要流转的土地数量及费用汇总表</w:t>
      </w:r>
    </w:p>
    <w:tbl>
      <w:tblPr>
        <w:tblStyle w:val="249"/>
        <w:tblpPr w:leftFromText="180" w:rightFromText="180" w:vertAnchor="text" w:horzAnchor="page" w:tblpXSpec="center" w:tblpY="289"/>
        <w:tblOverlap w:val="never"/>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134"/>
        <w:gridCol w:w="1701"/>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tabs>
                <w:tab w:val="clear" w:pos="3261"/>
                <w:tab w:val="clear" w:pos="4536"/>
              </w:tabs>
              <w:adjustRightInd w:val="0"/>
              <w:snapToGrid w:val="0"/>
              <w:ind w:firstLine="0" w:firstLineChars="0"/>
              <w:jc w:val="center"/>
              <w:rPr>
                <w:color w:val="000000"/>
                <w:kern w:val="0"/>
                <w:sz w:val="24"/>
                <w:szCs w:val="20"/>
              </w:rPr>
            </w:pPr>
            <w:r>
              <w:rPr>
                <w:color w:val="000000"/>
                <w:kern w:val="0"/>
                <w:sz w:val="24"/>
                <w:szCs w:val="20"/>
              </w:rPr>
              <w:t>名称</w:t>
            </w:r>
          </w:p>
        </w:tc>
        <w:tc>
          <w:tcPr>
            <w:tcW w:w="6520" w:type="dxa"/>
            <w:gridSpan w:val="5"/>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tabs>
                <w:tab w:val="clear" w:pos="3261"/>
                <w:tab w:val="clear" w:pos="4536"/>
              </w:tabs>
              <w:adjustRightInd w:val="0"/>
              <w:snapToGrid w:val="0"/>
              <w:ind w:firstLine="0" w:firstLineChars="0"/>
              <w:jc w:val="center"/>
              <w:rPr>
                <w:color w:val="000000"/>
                <w:kern w:val="0"/>
                <w:sz w:val="24"/>
                <w:szCs w:val="20"/>
              </w:rPr>
            </w:pP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北部山区（亩）</w:t>
            </w: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湛河区（亩）</w:t>
            </w:r>
          </w:p>
        </w:tc>
        <w:tc>
          <w:tcPr>
            <w:tcW w:w="1701"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城乡一体化示范区、高新区（亩）</w:t>
            </w:r>
          </w:p>
        </w:tc>
        <w:tc>
          <w:tcPr>
            <w:tcW w:w="850"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石龙区（亩）</w:t>
            </w:r>
          </w:p>
        </w:tc>
        <w:tc>
          <w:tcPr>
            <w:tcW w:w="1701" w:type="dxa"/>
            <w:vAlign w:val="center"/>
          </w:tcPr>
          <w:p>
            <w:pPr>
              <w:tabs>
                <w:tab w:val="clear" w:pos="3261"/>
                <w:tab w:val="clear" w:pos="4536"/>
              </w:tabs>
              <w:adjustRightInd w:val="0"/>
              <w:snapToGrid w:val="0"/>
              <w:ind w:firstLine="0" w:firstLineChars="0"/>
              <w:jc w:val="center"/>
              <w:rPr>
                <w:b/>
                <w:color w:val="000000"/>
                <w:kern w:val="0"/>
                <w:sz w:val="24"/>
                <w:szCs w:val="20"/>
              </w:rPr>
            </w:pPr>
            <w:r>
              <w:rPr>
                <w:rFonts w:hint="eastAsia"/>
                <w:b/>
                <w:color w:val="000000"/>
                <w:kern w:val="0"/>
                <w:sz w:val="24"/>
                <w:szCs w:val="20"/>
              </w:rPr>
              <w:t>每亩每年补偿额（元）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526"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b/>
                <w:color w:val="000000"/>
                <w:kern w:val="0"/>
                <w:sz w:val="24"/>
                <w:szCs w:val="20"/>
              </w:rPr>
              <w:t>一般耕地</w:t>
            </w: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r>
              <w:rPr>
                <w:color w:val="000000"/>
                <w:kern w:val="0"/>
                <w:sz w:val="24"/>
                <w:szCs w:val="20"/>
              </w:rPr>
              <w:t>6727.0</w:t>
            </w: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r>
              <w:rPr>
                <w:color w:val="000000"/>
                <w:kern w:val="0"/>
                <w:sz w:val="24"/>
                <w:szCs w:val="20"/>
              </w:rPr>
              <w:t>14243.00</w:t>
            </w:r>
          </w:p>
        </w:tc>
        <w:tc>
          <w:tcPr>
            <w:tcW w:w="1701" w:type="dxa"/>
            <w:vAlign w:val="center"/>
          </w:tcPr>
          <w:p>
            <w:pPr>
              <w:tabs>
                <w:tab w:val="clear" w:pos="3261"/>
                <w:tab w:val="clear" w:pos="4536"/>
              </w:tabs>
              <w:adjustRightInd w:val="0"/>
              <w:snapToGrid w:val="0"/>
              <w:ind w:firstLine="0" w:firstLineChars="0"/>
              <w:jc w:val="center"/>
              <w:rPr>
                <w:color w:val="000000"/>
                <w:kern w:val="0"/>
                <w:sz w:val="24"/>
                <w:szCs w:val="20"/>
              </w:rPr>
            </w:pPr>
            <w:r>
              <w:rPr>
                <w:color w:val="000000"/>
                <w:kern w:val="0"/>
                <w:sz w:val="24"/>
                <w:szCs w:val="20"/>
              </w:rPr>
              <w:t>6</w:t>
            </w:r>
            <w:r>
              <w:rPr>
                <w:rFonts w:hint="eastAsia"/>
                <w:color w:val="000000"/>
                <w:kern w:val="0"/>
                <w:sz w:val="24"/>
                <w:szCs w:val="20"/>
              </w:rPr>
              <w:t>0</w:t>
            </w:r>
            <w:r>
              <w:rPr>
                <w:color w:val="000000"/>
                <w:kern w:val="0"/>
                <w:sz w:val="24"/>
                <w:szCs w:val="20"/>
              </w:rPr>
              <w:t>715.90</w:t>
            </w:r>
          </w:p>
        </w:tc>
        <w:tc>
          <w:tcPr>
            <w:tcW w:w="850"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w:t>
            </w:r>
          </w:p>
        </w:tc>
        <w:tc>
          <w:tcPr>
            <w:tcW w:w="1701"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b/>
                <w:color w:val="000000"/>
                <w:kern w:val="0"/>
                <w:sz w:val="24"/>
                <w:szCs w:val="20"/>
              </w:rPr>
              <w:t>坡耕地</w:t>
            </w: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r>
              <w:rPr>
                <w:color w:val="000000"/>
                <w:kern w:val="0"/>
                <w:sz w:val="24"/>
                <w:szCs w:val="20"/>
              </w:rPr>
              <w:t>25448.2</w:t>
            </w: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w:t>
            </w:r>
          </w:p>
        </w:tc>
        <w:tc>
          <w:tcPr>
            <w:tcW w:w="1701"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w:t>
            </w:r>
          </w:p>
        </w:tc>
        <w:tc>
          <w:tcPr>
            <w:tcW w:w="850"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w:t>
            </w:r>
          </w:p>
        </w:tc>
        <w:tc>
          <w:tcPr>
            <w:tcW w:w="1701"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b/>
                <w:color w:val="000000"/>
                <w:kern w:val="0"/>
                <w:sz w:val="24"/>
                <w:szCs w:val="20"/>
              </w:rPr>
              <w:t>宜林地</w:t>
            </w: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r>
              <w:rPr>
                <w:color w:val="000000"/>
                <w:kern w:val="0"/>
                <w:sz w:val="24"/>
                <w:szCs w:val="20"/>
              </w:rPr>
              <w:t>34561.7</w:t>
            </w: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w:t>
            </w:r>
          </w:p>
        </w:tc>
        <w:tc>
          <w:tcPr>
            <w:tcW w:w="1701"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w:t>
            </w:r>
          </w:p>
        </w:tc>
        <w:tc>
          <w:tcPr>
            <w:tcW w:w="850"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w:t>
            </w:r>
          </w:p>
        </w:tc>
        <w:tc>
          <w:tcPr>
            <w:tcW w:w="1701"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有林地（疏林地）</w:t>
            </w: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r>
              <w:rPr>
                <w:color w:val="000000"/>
                <w:kern w:val="0"/>
                <w:sz w:val="24"/>
                <w:szCs w:val="20"/>
              </w:rPr>
              <w:t>17352.4</w:t>
            </w:r>
            <w:r>
              <w:rPr>
                <w:rFonts w:hint="eastAsia"/>
                <w:color w:val="000000"/>
                <w:kern w:val="0"/>
                <w:sz w:val="24"/>
                <w:szCs w:val="20"/>
              </w:rPr>
              <w:t>0</w:t>
            </w: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p>
        </w:tc>
        <w:tc>
          <w:tcPr>
            <w:tcW w:w="1701"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w:t>
            </w:r>
          </w:p>
        </w:tc>
        <w:tc>
          <w:tcPr>
            <w:tcW w:w="850"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w:t>
            </w:r>
          </w:p>
        </w:tc>
        <w:tc>
          <w:tcPr>
            <w:tcW w:w="1701"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集体土地</w:t>
            </w: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w:t>
            </w: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w:t>
            </w:r>
          </w:p>
        </w:tc>
        <w:tc>
          <w:tcPr>
            <w:tcW w:w="1701"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w:t>
            </w:r>
          </w:p>
        </w:tc>
        <w:tc>
          <w:tcPr>
            <w:tcW w:w="850" w:type="dxa"/>
            <w:vAlign w:val="center"/>
          </w:tcPr>
          <w:p>
            <w:pPr>
              <w:tabs>
                <w:tab w:val="clear" w:pos="3261"/>
                <w:tab w:val="clear" w:pos="4536"/>
              </w:tabs>
              <w:adjustRightInd w:val="0"/>
              <w:snapToGrid w:val="0"/>
              <w:ind w:firstLine="0" w:firstLineChars="0"/>
              <w:jc w:val="center"/>
              <w:rPr>
                <w:color w:val="000000"/>
                <w:kern w:val="0"/>
                <w:sz w:val="24"/>
                <w:szCs w:val="20"/>
              </w:rPr>
            </w:pPr>
            <w:r>
              <w:rPr>
                <w:color w:val="000000"/>
                <w:kern w:val="0"/>
                <w:sz w:val="24"/>
                <w:szCs w:val="20"/>
              </w:rPr>
              <w:t>10500</w:t>
            </w:r>
          </w:p>
        </w:tc>
        <w:tc>
          <w:tcPr>
            <w:tcW w:w="1701"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区域运营期每年土地流转费金额</w:t>
            </w:r>
            <w:r>
              <w:rPr>
                <w:rFonts w:hint="eastAsia"/>
                <w:b/>
                <w:color w:val="000000"/>
                <w:kern w:val="0"/>
                <w:sz w:val="24"/>
                <w:szCs w:val="20"/>
              </w:rPr>
              <w:t>（万元）</w:t>
            </w: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3782.31</w:t>
            </w:r>
          </w:p>
        </w:tc>
        <w:tc>
          <w:tcPr>
            <w:tcW w:w="1134"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1281.87</w:t>
            </w:r>
          </w:p>
        </w:tc>
        <w:tc>
          <w:tcPr>
            <w:tcW w:w="1701"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5464.43</w:t>
            </w:r>
          </w:p>
        </w:tc>
        <w:tc>
          <w:tcPr>
            <w:tcW w:w="850"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420</w:t>
            </w:r>
          </w:p>
        </w:tc>
        <w:tc>
          <w:tcPr>
            <w:tcW w:w="1701" w:type="dxa"/>
            <w:vAlign w:val="center"/>
          </w:tcPr>
          <w:p>
            <w:pPr>
              <w:tabs>
                <w:tab w:val="clear" w:pos="3261"/>
                <w:tab w:val="clear" w:pos="4536"/>
              </w:tabs>
              <w:adjustRightInd w:val="0"/>
              <w:snapToGrid w:val="0"/>
              <w:ind w:firstLine="0" w:firstLineChars="0"/>
              <w:jc w:val="center"/>
              <w:rPr>
                <w:color w:val="000000"/>
                <w:kern w:val="0"/>
                <w:sz w:val="24"/>
                <w:szCs w:val="20"/>
              </w:rPr>
            </w:pPr>
            <w:r>
              <w:rPr>
                <w:rFonts w:hint="eastAsia"/>
                <w:color w:val="000000"/>
                <w:kern w:val="0"/>
                <w:sz w:val="24"/>
                <w:szCs w:val="20"/>
              </w:rPr>
              <w:t>运营期每年流转费10948.61万元。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tabs>
                <w:tab w:val="clear" w:pos="3261"/>
                <w:tab w:val="clear" w:pos="4536"/>
              </w:tabs>
              <w:adjustRightInd w:val="0"/>
              <w:snapToGrid w:val="0"/>
              <w:ind w:firstLine="0" w:firstLineChars="0"/>
              <w:jc w:val="center"/>
              <w:rPr>
                <w:b/>
                <w:color w:val="000000"/>
                <w:kern w:val="0"/>
                <w:sz w:val="24"/>
                <w:szCs w:val="20"/>
              </w:rPr>
            </w:pPr>
            <w:r>
              <w:rPr>
                <w:rFonts w:hint="eastAsia"/>
                <w:b/>
                <w:color w:val="000000"/>
                <w:kern w:val="0"/>
                <w:sz w:val="24"/>
                <w:szCs w:val="20"/>
              </w:rPr>
              <w:t>运营期（19年）合计</w:t>
            </w:r>
          </w:p>
        </w:tc>
        <w:tc>
          <w:tcPr>
            <w:tcW w:w="1134" w:type="dxa"/>
            <w:vAlign w:val="center"/>
          </w:tcPr>
          <w:p>
            <w:pPr>
              <w:tabs>
                <w:tab w:val="clear" w:pos="3261"/>
                <w:tab w:val="clear" w:pos="4536"/>
              </w:tabs>
              <w:adjustRightInd w:val="0"/>
              <w:snapToGrid w:val="0"/>
              <w:ind w:firstLine="0" w:firstLineChars="0"/>
              <w:jc w:val="center"/>
              <w:rPr>
                <w:b/>
                <w:color w:val="000000"/>
                <w:kern w:val="0"/>
                <w:sz w:val="24"/>
                <w:szCs w:val="20"/>
              </w:rPr>
            </w:pPr>
            <w:r>
              <w:rPr>
                <w:rFonts w:hint="eastAsia"/>
                <w:color w:val="000000"/>
                <w:kern w:val="0"/>
                <w:sz w:val="24"/>
                <w:szCs w:val="20"/>
              </w:rPr>
              <w:t>71863.91</w:t>
            </w:r>
          </w:p>
        </w:tc>
        <w:tc>
          <w:tcPr>
            <w:tcW w:w="1134" w:type="dxa"/>
            <w:vAlign w:val="center"/>
          </w:tcPr>
          <w:p>
            <w:pPr>
              <w:tabs>
                <w:tab w:val="clear" w:pos="3261"/>
                <w:tab w:val="clear" w:pos="4536"/>
              </w:tabs>
              <w:adjustRightInd w:val="0"/>
              <w:snapToGrid w:val="0"/>
              <w:ind w:firstLine="0" w:firstLineChars="0"/>
              <w:jc w:val="center"/>
              <w:rPr>
                <w:b/>
                <w:color w:val="000000"/>
                <w:kern w:val="0"/>
                <w:sz w:val="24"/>
                <w:szCs w:val="20"/>
              </w:rPr>
            </w:pPr>
            <w:r>
              <w:rPr>
                <w:rFonts w:hint="eastAsia"/>
                <w:b/>
                <w:color w:val="000000"/>
                <w:kern w:val="0"/>
                <w:sz w:val="24"/>
                <w:szCs w:val="20"/>
              </w:rPr>
              <w:t>24355.53</w:t>
            </w:r>
          </w:p>
        </w:tc>
        <w:tc>
          <w:tcPr>
            <w:tcW w:w="1701" w:type="dxa"/>
            <w:vAlign w:val="center"/>
          </w:tcPr>
          <w:p>
            <w:pPr>
              <w:tabs>
                <w:tab w:val="clear" w:pos="3261"/>
                <w:tab w:val="clear" w:pos="4536"/>
              </w:tabs>
              <w:adjustRightInd w:val="0"/>
              <w:snapToGrid w:val="0"/>
              <w:ind w:firstLine="0" w:firstLineChars="0"/>
              <w:jc w:val="center"/>
              <w:rPr>
                <w:b/>
                <w:color w:val="000000"/>
                <w:kern w:val="0"/>
                <w:sz w:val="24"/>
                <w:szCs w:val="20"/>
              </w:rPr>
            </w:pPr>
            <w:r>
              <w:rPr>
                <w:rFonts w:hint="eastAsia"/>
                <w:b/>
                <w:color w:val="000000"/>
                <w:kern w:val="0"/>
                <w:sz w:val="24"/>
                <w:szCs w:val="20"/>
              </w:rPr>
              <w:t>103824.17</w:t>
            </w:r>
          </w:p>
        </w:tc>
        <w:tc>
          <w:tcPr>
            <w:tcW w:w="850" w:type="dxa"/>
            <w:vAlign w:val="center"/>
          </w:tcPr>
          <w:p>
            <w:pPr>
              <w:tabs>
                <w:tab w:val="clear" w:pos="3261"/>
                <w:tab w:val="clear" w:pos="4536"/>
              </w:tabs>
              <w:adjustRightInd w:val="0"/>
              <w:snapToGrid w:val="0"/>
              <w:ind w:firstLine="0" w:firstLineChars="0"/>
              <w:jc w:val="center"/>
              <w:rPr>
                <w:b/>
                <w:color w:val="000000"/>
                <w:kern w:val="0"/>
                <w:sz w:val="24"/>
                <w:szCs w:val="20"/>
              </w:rPr>
            </w:pPr>
            <w:r>
              <w:rPr>
                <w:rFonts w:hint="eastAsia"/>
                <w:b/>
                <w:color w:val="000000"/>
                <w:kern w:val="0"/>
                <w:sz w:val="24"/>
                <w:szCs w:val="20"/>
              </w:rPr>
              <w:t>7980</w:t>
            </w:r>
          </w:p>
        </w:tc>
        <w:tc>
          <w:tcPr>
            <w:tcW w:w="1701" w:type="dxa"/>
            <w:vAlign w:val="center"/>
          </w:tcPr>
          <w:p>
            <w:pPr>
              <w:tabs>
                <w:tab w:val="clear" w:pos="3261"/>
                <w:tab w:val="clear" w:pos="4536"/>
              </w:tabs>
              <w:adjustRightInd w:val="0"/>
              <w:snapToGrid w:val="0"/>
              <w:ind w:firstLine="0" w:firstLineChars="0"/>
              <w:jc w:val="center"/>
              <w:rPr>
                <w:b/>
                <w:color w:val="000000"/>
                <w:kern w:val="0"/>
                <w:sz w:val="24"/>
                <w:szCs w:val="20"/>
              </w:rPr>
            </w:pPr>
            <w:r>
              <w:rPr>
                <w:rFonts w:hint="eastAsia"/>
                <w:b/>
                <w:color w:val="000000"/>
                <w:kern w:val="0"/>
                <w:sz w:val="24"/>
                <w:szCs w:val="20"/>
              </w:rPr>
              <w:t>合计</w:t>
            </w:r>
          </w:p>
          <w:p>
            <w:pPr>
              <w:tabs>
                <w:tab w:val="clear" w:pos="3261"/>
                <w:tab w:val="clear" w:pos="4536"/>
              </w:tabs>
              <w:adjustRightInd w:val="0"/>
              <w:snapToGrid w:val="0"/>
              <w:ind w:firstLine="0" w:firstLineChars="0"/>
              <w:jc w:val="center"/>
              <w:rPr>
                <w:b/>
                <w:color w:val="000000"/>
                <w:kern w:val="0"/>
                <w:sz w:val="24"/>
                <w:szCs w:val="20"/>
              </w:rPr>
            </w:pPr>
            <w:r>
              <w:rPr>
                <w:rFonts w:hint="eastAsia"/>
                <w:b/>
                <w:color w:val="000000"/>
                <w:kern w:val="0"/>
                <w:sz w:val="24"/>
                <w:szCs w:val="20"/>
              </w:rPr>
              <w:t>208023.61万元</w:t>
            </w:r>
          </w:p>
        </w:tc>
      </w:tr>
    </w:tbl>
    <w:p>
      <w:pPr>
        <w:widowControl/>
        <w:tabs>
          <w:tab w:val="clear" w:pos="3261"/>
          <w:tab w:val="clear" w:pos="4536"/>
        </w:tabs>
        <w:adjustRightInd w:val="0"/>
        <w:snapToGrid w:val="0"/>
        <w:spacing w:line="360" w:lineRule="auto"/>
        <w:ind w:firstLine="562" w:firstLineChars="200"/>
        <w:rPr>
          <w:b/>
          <w:bCs/>
          <w:color w:val="000000"/>
        </w:rPr>
      </w:pPr>
      <w:r>
        <w:rPr>
          <w:rFonts w:hint="eastAsia"/>
          <w:b/>
          <w:bCs/>
          <w:color w:val="000000"/>
        </w:rPr>
        <w:t>2）项目运营期第一年基准运营成本：</w:t>
      </w:r>
    </w:p>
    <w:p>
      <w:pPr>
        <w:spacing w:line="360" w:lineRule="auto"/>
        <w:rPr>
          <w:bCs/>
          <w:color w:val="000000"/>
        </w:rPr>
      </w:pPr>
      <w:r>
        <w:rPr>
          <w:rFonts w:hint="eastAsia"/>
          <w:bCs/>
          <w:color w:val="000000"/>
        </w:rPr>
        <w:t>项目运营期运营成本合计为</w:t>
      </w:r>
      <w:r>
        <w:rPr>
          <w:bCs/>
          <w:color w:val="000000"/>
        </w:rPr>
        <w:t>350858.76</w:t>
      </w:r>
      <w:r>
        <w:rPr>
          <w:rFonts w:hint="eastAsia"/>
          <w:bCs/>
          <w:color w:val="000000"/>
        </w:rPr>
        <w:t>万元（其中土地流转费用为</w:t>
      </w:r>
      <w:r>
        <w:rPr>
          <w:bCs/>
          <w:color w:val="000000"/>
        </w:rPr>
        <w:t>208023.61万元</w:t>
      </w:r>
      <w:r>
        <w:rPr>
          <w:rFonts w:hint="eastAsia"/>
          <w:bCs/>
          <w:color w:val="000000"/>
        </w:rPr>
        <w:t>），项目运营维护总面积为1</w:t>
      </w:r>
      <w:r>
        <w:rPr>
          <w:bCs/>
          <w:color w:val="000000"/>
        </w:rPr>
        <w:t>79048.70</w:t>
      </w:r>
      <w:r>
        <w:rPr>
          <w:rFonts w:hint="eastAsia"/>
          <w:bCs/>
          <w:color w:val="000000"/>
        </w:rPr>
        <w:t>亩，项目运营期运营成本平均值为419.87元/亩/年（不含土地流转费），以平均值作为项目第一年运营成本的控制价，合作期的运营成本的调价的基准成本，后续合作年限运营成本结合成本调价机制及项目运营采伐与销售计划确定。</w:t>
      </w:r>
    </w:p>
    <w:p>
      <w:pPr>
        <w:spacing w:line="360" w:lineRule="auto"/>
        <w:ind w:firstLine="568"/>
        <w:rPr>
          <w:b/>
          <w:color w:val="000000" w:themeColor="text1"/>
          <w14:textFill>
            <w14:solidFill>
              <w14:schemeClr w14:val="tx1"/>
            </w14:solidFill>
          </w14:textFill>
        </w:rPr>
      </w:pPr>
      <w:r>
        <w:rPr>
          <w:rFonts w:hint="eastAsia"/>
          <w:b/>
          <w:color w:val="000000" w:themeColor="text1"/>
          <w14:textFill>
            <w14:solidFill>
              <w14:schemeClr w14:val="tx1"/>
            </w14:solidFill>
          </w14:textFill>
        </w:rPr>
        <w:t>（3）</w:t>
      </w:r>
      <w:r>
        <w:rPr>
          <w:b/>
          <w:color w:val="000000" w:themeColor="text1"/>
          <w14:textFill>
            <w14:solidFill>
              <w14:schemeClr w14:val="tx1"/>
            </w14:solidFill>
          </w14:textFill>
        </w:rPr>
        <w:t>项目使用者付费</w:t>
      </w:r>
      <w:r>
        <w:rPr>
          <w:rFonts w:hint="eastAsia"/>
          <w:b/>
          <w:color w:val="000000" w:themeColor="text1"/>
          <w14:textFill>
            <w14:solidFill>
              <w14:schemeClr w14:val="tx1"/>
            </w14:solidFill>
          </w14:textFill>
        </w:rPr>
        <w:t>收入</w:t>
      </w:r>
    </w:p>
    <w:p>
      <w:pPr>
        <w:tabs>
          <w:tab w:val="left" w:pos="0"/>
          <w:tab w:val="left" w:pos="426"/>
        </w:tabs>
        <w:spacing w:line="360" w:lineRule="auto"/>
        <w:ind w:right="-57"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项目的使用者付费主要是木材、苗木、林果等的销售收入。</w:t>
      </w:r>
    </w:p>
    <w:p>
      <w:pPr>
        <w:widowControl/>
        <w:tabs>
          <w:tab w:val="clear" w:pos="3261"/>
          <w:tab w:val="clear" w:pos="4536"/>
        </w:tabs>
        <w:adjustRightInd w:val="0"/>
        <w:snapToGrid w:val="0"/>
        <w:spacing w:line="360" w:lineRule="auto"/>
        <w:ind w:firstLine="562" w:firstLineChars="200"/>
        <w:rPr>
          <w:b/>
          <w:bCs/>
          <w:color w:val="000000"/>
        </w:rPr>
      </w:pPr>
      <w:r>
        <w:rPr>
          <w:rFonts w:hint="eastAsia"/>
          <w:b/>
          <w:bCs/>
          <w:color w:val="000000"/>
        </w:rPr>
        <w:t>1）北部山区：</w:t>
      </w:r>
    </w:p>
    <w:p>
      <w:pPr>
        <w:widowControl/>
        <w:tabs>
          <w:tab w:val="clear" w:pos="3261"/>
          <w:tab w:val="clear" w:pos="4536"/>
        </w:tabs>
        <w:adjustRightInd w:val="0"/>
        <w:snapToGrid w:val="0"/>
        <w:spacing w:line="360" w:lineRule="auto"/>
        <w:ind w:firstLine="562" w:firstLineChars="200"/>
        <w:rPr>
          <w:b/>
          <w:bCs/>
          <w:color w:val="000000"/>
        </w:rPr>
      </w:pPr>
      <w:r>
        <w:rPr>
          <w:b/>
          <w:bCs/>
          <w:color w:val="000000"/>
        </w:rPr>
        <w:t>出材量：</w:t>
      </w:r>
    </w:p>
    <w:p>
      <w:pPr>
        <w:tabs>
          <w:tab w:val="clear" w:pos="3261"/>
          <w:tab w:val="clear" w:pos="4536"/>
        </w:tabs>
        <w:adjustRightInd w:val="0"/>
        <w:snapToGrid w:val="0"/>
        <w:spacing w:line="360" w:lineRule="auto"/>
        <w:ind w:firstLine="560" w:firstLineChars="200"/>
        <w:rPr>
          <w:bCs/>
          <w:color w:val="000000"/>
          <w:lang w:bidi="ja-JP"/>
        </w:rPr>
      </w:pPr>
      <w:r>
        <w:rPr>
          <w:rFonts w:hint="eastAsia" w:cs="宋体"/>
          <w:bCs/>
          <w:color w:val="000000"/>
          <w:lang w:bidi="ja-JP"/>
        </w:rPr>
        <w:t>①</w:t>
      </w:r>
      <w:r>
        <w:rPr>
          <w:rFonts w:hint="eastAsia"/>
          <w:bCs/>
          <w:color w:val="000000"/>
          <w:lang w:bidi="ja-JP"/>
        </w:rPr>
        <w:t>集约人工林栽培</w:t>
      </w:r>
    </w:p>
    <w:p>
      <w:pPr>
        <w:tabs>
          <w:tab w:val="clear" w:pos="3261"/>
          <w:tab w:val="clear" w:pos="4536"/>
        </w:tabs>
        <w:adjustRightInd w:val="0"/>
        <w:snapToGrid w:val="0"/>
        <w:spacing w:line="360" w:lineRule="auto"/>
        <w:ind w:firstLine="560" w:firstLineChars="200"/>
        <w:rPr>
          <w:bCs/>
          <w:color w:val="000000"/>
          <w:lang w:bidi="ja-JP"/>
        </w:rPr>
      </w:pPr>
      <w:r>
        <w:rPr>
          <w:rFonts w:hint="eastAsia"/>
          <w:bCs/>
          <w:color w:val="000000"/>
          <w:lang w:bidi="ja-JP"/>
        </w:rPr>
        <w:t>在造林第</w:t>
      </w:r>
      <w:r>
        <w:rPr>
          <w:bCs/>
          <w:color w:val="000000"/>
          <w:lang w:bidi="ja-JP"/>
        </w:rPr>
        <w:t>8</w:t>
      </w:r>
      <w:r>
        <w:rPr>
          <w:rFonts w:hint="eastAsia"/>
          <w:bCs/>
          <w:color w:val="000000"/>
          <w:lang w:bidi="ja-JP"/>
        </w:rPr>
        <w:t>年，除侧柏、黄连木、刺槐、麻栎等乡土树种外，其他珍稀树种采取整株移出的方式出售苗木；在造林第10年对刺槐、臭椿进行间伐，第20年对麻栎进行间伐。根据一个轮伐期间计算，只有刺槐达到一个轮伐期，进行主伐，其余树种轮伐期均大于25年，按立木折算期末保留林分价值进行分析。</w:t>
      </w:r>
    </w:p>
    <w:p>
      <w:pPr>
        <w:tabs>
          <w:tab w:val="clear" w:pos="3261"/>
          <w:tab w:val="clear" w:pos="4536"/>
        </w:tabs>
        <w:adjustRightInd w:val="0"/>
        <w:snapToGrid w:val="0"/>
        <w:spacing w:line="360" w:lineRule="auto"/>
        <w:ind w:firstLine="560" w:firstLineChars="200"/>
        <w:rPr>
          <w:bCs/>
          <w:color w:val="000000"/>
          <w:lang w:bidi="ja-JP"/>
        </w:rPr>
      </w:pPr>
      <w:r>
        <w:rPr>
          <w:rFonts w:hint="eastAsia" w:cs="宋体"/>
          <w:bCs/>
          <w:color w:val="000000"/>
          <w:lang w:bidi="ja-JP"/>
        </w:rPr>
        <w:t>②</w:t>
      </w:r>
      <w:r>
        <w:rPr>
          <w:rFonts w:hint="eastAsia"/>
          <w:bCs/>
          <w:color w:val="000000"/>
          <w:lang w:bidi="ja-JP"/>
        </w:rPr>
        <w:t>中幼林抚育及补植补造</w:t>
      </w:r>
    </w:p>
    <w:p>
      <w:pPr>
        <w:tabs>
          <w:tab w:val="clear" w:pos="3261"/>
          <w:tab w:val="clear" w:pos="4536"/>
        </w:tabs>
        <w:adjustRightInd w:val="0"/>
        <w:snapToGrid w:val="0"/>
        <w:spacing w:line="360" w:lineRule="auto"/>
        <w:ind w:firstLine="560" w:firstLineChars="200"/>
        <w:rPr>
          <w:bCs/>
          <w:color w:val="000000"/>
          <w:lang w:bidi="ja-JP"/>
        </w:rPr>
      </w:pPr>
      <w:r>
        <w:rPr>
          <w:rFonts w:hint="eastAsia"/>
          <w:bCs/>
          <w:color w:val="000000"/>
          <w:lang w:bidi="ja-JP"/>
        </w:rPr>
        <w:t>在第8年对中幼林中欧美杨进行间伐；在第15年、第16年分别对刺槐、欧美杨进行主伐。侧柏及补植树种麻栎达不到一个轮伐期，按立木折算期末保留林分价值进行分析。</w:t>
      </w:r>
    </w:p>
    <w:p>
      <w:pPr>
        <w:tabs>
          <w:tab w:val="clear" w:pos="3261"/>
          <w:tab w:val="clear" w:pos="4536"/>
        </w:tabs>
        <w:adjustRightInd w:val="0"/>
        <w:snapToGrid w:val="0"/>
        <w:spacing w:line="360" w:lineRule="auto"/>
        <w:ind w:firstLine="560" w:firstLineChars="200"/>
        <w:rPr>
          <w:bCs/>
          <w:color w:val="000000"/>
          <w:lang w:bidi="ja-JP"/>
        </w:rPr>
      </w:pPr>
      <w:r>
        <w:rPr>
          <w:rFonts w:hint="eastAsia" w:cs="宋体"/>
          <w:bCs/>
          <w:color w:val="000000"/>
          <w:lang w:bidi="ja-JP"/>
        </w:rPr>
        <w:t>③</w:t>
      </w:r>
      <w:r>
        <w:rPr>
          <w:rFonts w:hint="eastAsia"/>
          <w:bCs/>
          <w:color w:val="000000"/>
          <w:lang w:bidi="ja-JP"/>
        </w:rPr>
        <w:t>现有林改培</w:t>
      </w:r>
    </w:p>
    <w:p>
      <w:pPr>
        <w:tabs>
          <w:tab w:val="clear" w:pos="3261"/>
          <w:tab w:val="clear" w:pos="4536"/>
        </w:tabs>
        <w:adjustRightInd w:val="0"/>
        <w:snapToGrid w:val="0"/>
        <w:spacing w:line="360" w:lineRule="auto"/>
        <w:ind w:firstLine="560" w:firstLineChars="200"/>
        <w:rPr>
          <w:bCs/>
          <w:color w:val="000000"/>
          <w:lang w:bidi="ja-JP"/>
        </w:rPr>
      </w:pPr>
      <w:r>
        <w:rPr>
          <w:rFonts w:hint="eastAsia"/>
          <w:bCs/>
          <w:color w:val="000000"/>
          <w:lang w:bidi="ja-JP"/>
        </w:rPr>
        <w:t>在第15年、第19年分别对现有林中现有树种刺槐、欧美杨进行主伐，改培树种楸树和麻栎由于达不到一个轮伐期，按立木折算期末保留林分价值进行分析。</w:t>
      </w:r>
    </w:p>
    <w:p>
      <w:pPr>
        <w:tabs>
          <w:tab w:val="clear" w:pos="3261"/>
          <w:tab w:val="clear" w:pos="4536"/>
        </w:tabs>
        <w:adjustRightInd w:val="0"/>
        <w:snapToGrid w:val="0"/>
        <w:spacing w:line="360" w:lineRule="auto"/>
        <w:ind w:firstLine="560" w:firstLineChars="200"/>
        <w:rPr>
          <w:bCs/>
          <w:color w:val="000000"/>
          <w:lang w:bidi="ja-JP"/>
        </w:rPr>
      </w:pPr>
      <w:r>
        <w:rPr>
          <w:rFonts w:hint="eastAsia"/>
          <w:bCs/>
          <w:color w:val="000000"/>
          <w:lang w:bidi="ja-JP"/>
        </w:rPr>
        <w:t>运营期内，共出售木材</w:t>
      </w:r>
      <w:r>
        <w:rPr>
          <w:bCs/>
          <w:color w:val="000000"/>
          <w:lang w:bidi="ja-JP"/>
        </w:rPr>
        <w:t>24.94</w:t>
      </w:r>
      <w:r>
        <w:rPr>
          <w:rFonts w:hint="eastAsia"/>
          <w:bCs/>
          <w:color w:val="000000"/>
          <w:lang w:bidi="ja-JP"/>
        </w:rPr>
        <w:t>万立方米，枝桠材</w:t>
      </w:r>
      <w:r>
        <w:rPr>
          <w:bCs/>
          <w:color w:val="000000"/>
          <w:lang w:bidi="ja-JP"/>
        </w:rPr>
        <w:t>6.68</w:t>
      </w:r>
      <w:r>
        <w:rPr>
          <w:rFonts w:hint="eastAsia"/>
          <w:bCs/>
          <w:color w:val="000000"/>
          <w:lang w:bidi="ja-JP"/>
        </w:rPr>
        <w:t>万吨；出售各类绿化苗木</w:t>
      </w:r>
      <w:r>
        <w:rPr>
          <w:bCs/>
          <w:color w:val="000000"/>
          <w:lang w:bidi="ja-JP"/>
        </w:rPr>
        <w:t>148.27</w:t>
      </w:r>
      <w:r>
        <w:rPr>
          <w:rFonts w:hint="eastAsia"/>
          <w:bCs/>
          <w:color w:val="000000"/>
          <w:lang w:bidi="ja-JP"/>
        </w:rPr>
        <w:t>万株。</w:t>
      </w:r>
    </w:p>
    <w:p>
      <w:pPr>
        <w:tabs>
          <w:tab w:val="clear" w:pos="3261"/>
          <w:tab w:val="clear" w:pos="4536"/>
        </w:tabs>
        <w:adjustRightInd w:val="0"/>
        <w:snapToGrid w:val="0"/>
        <w:spacing w:line="360" w:lineRule="auto"/>
        <w:ind w:firstLine="562" w:firstLineChars="200"/>
        <w:rPr>
          <w:bCs/>
          <w:color w:val="000000"/>
          <w:lang w:bidi="ja-JP"/>
        </w:rPr>
      </w:pPr>
      <w:r>
        <w:rPr>
          <w:rFonts w:hint="eastAsia"/>
          <w:b/>
          <w:bCs/>
          <w:color w:val="000000"/>
          <w:lang w:bidi="ja-JP"/>
        </w:rPr>
        <w:t>林果产品：</w:t>
      </w:r>
      <w:r>
        <w:rPr>
          <w:rFonts w:hint="eastAsia"/>
          <w:bCs/>
          <w:color w:val="000000"/>
          <w:lang w:bidi="ja-JP"/>
        </w:rPr>
        <w:t>运营期内共生产各类干鲜果品</w:t>
      </w:r>
      <w:r>
        <w:rPr>
          <w:bCs/>
          <w:color w:val="000000"/>
          <w:lang w:bidi="ja-JP"/>
        </w:rPr>
        <w:t>10.93</w:t>
      </w:r>
      <w:r>
        <w:rPr>
          <w:rFonts w:hint="eastAsia"/>
          <w:bCs/>
          <w:color w:val="000000"/>
          <w:lang w:bidi="ja-JP"/>
        </w:rPr>
        <w:t>万吨。其中，核桃</w:t>
      </w:r>
      <w:r>
        <w:rPr>
          <w:bCs/>
          <w:color w:val="000000"/>
          <w:lang w:bidi="ja-JP"/>
        </w:rPr>
        <w:t>0.65</w:t>
      </w:r>
      <w:r>
        <w:rPr>
          <w:rFonts w:hint="eastAsia"/>
          <w:bCs/>
          <w:color w:val="000000"/>
          <w:lang w:bidi="ja-JP"/>
        </w:rPr>
        <w:t>万吨、石榴</w:t>
      </w:r>
      <w:r>
        <w:rPr>
          <w:bCs/>
          <w:color w:val="000000"/>
          <w:lang w:bidi="ja-JP"/>
        </w:rPr>
        <w:t>2.73</w:t>
      </w:r>
      <w:r>
        <w:rPr>
          <w:rFonts w:hint="eastAsia"/>
          <w:bCs/>
          <w:color w:val="000000"/>
          <w:lang w:bidi="ja-JP"/>
        </w:rPr>
        <w:t>万吨、桃</w:t>
      </w:r>
      <w:r>
        <w:rPr>
          <w:bCs/>
          <w:color w:val="000000"/>
          <w:lang w:bidi="ja-JP"/>
        </w:rPr>
        <w:t>6.18</w:t>
      </w:r>
      <w:r>
        <w:rPr>
          <w:rFonts w:hint="eastAsia"/>
          <w:bCs/>
          <w:color w:val="000000"/>
          <w:lang w:bidi="ja-JP"/>
        </w:rPr>
        <w:t>万吨、樱桃</w:t>
      </w:r>
      <w:r>
        <w:rPr>
          <w:bCs/>
          <w:color w:val="000000"/>
          <w:lang w:bidi="ja-JP"/>
        </w:rPr>
        <w:t>1.36</w:t>
      </w:r>
      <w:r>
        <w:rPr>
          <w:rFonts w:hint="eastAsia"/>
          <w:bCs/>
          <w:color w:val="000000"/>
          <w:lang w:bidi="ja-JP"/>
        </w:rPr>
        <w:t>万吨。</w:t>
      </w:r>
    </w:p>
    <w:p>
      <w:pPr>
        <w:widowControl/>
        <w:tabs>
          <w:tab w:val="clear" w:pos="3261"/>
          <w:tab w:val="clear" w:pos="4536"/>
        </w:tabs>
        <w:adjustRightInd w:val="0"/>
        <w:snapToGrid w:val="0"/>
        <w:spacing w:line="360" w:lineRule="auto"/>
        <w:ind w:firstLine="562" w:firstLineChars="200"/>
        <w:rPr>
          <w:b/>
          <w:bCs/>
          <w:color w:val="000000"/>
        </w:rPr>
      </w:pPr>
      <w:r>
        <w:rPr>
          <w:b/>
          <w:bCs/>
          <w:color w:val="000000"/>
        </w:rPr>
        <w:t>收入估算：</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在分析研究</w:t>
      </w:r>
      <w:r>
        <w:rPr>
          <w:bCs/>
          <w:color w:val="000000"/>
        </w:rPr>
        <w:t>2007</w:t>
      </w:r>
      <w:r>
        <w:rPr>
          <w:rFonts w:hint="eastAsia"/>
          <w:bCs/>
          <w:color w:val="000000"/>
        </w:rPr>
        <w:t>～</w:t>
      </w:r>
      <w:r>
        <w:rPr>
          <w:bCs/>
          <w:color w:val="000000"/>
        </w:rPr>
        <w:t>2016</w:t>
      </w:r>
      <w:r>
        <w:rPr>
          <w:rFonts w:hint="eastAsia"/>
          <w:bCs/>
          <w:color w:val="000000"/>
        </w:rPr>
        <w:t>年价格行情的基础上，选取木材及林果的供给量、综合平均价格为研究对象，分析木材和林果供给增长率、价格变化率，并采用价格变化弹性系数法，预测市场价格变化趋势。</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主材产品计算：所选造林树种按大径阶用材树种和大径阶珍稀树种分开计算，大径材用材树种欧美杨、刺槐</w:t>
      </w:r>
      <w:r>
        <w:rPr>
          <w:bCs/>
          <w:color w:val="000000"/>
        </w:rPr>
        <w:t>2</w:t>
      </w:r>
      <w:r>
        <w:rPr>
          <w:rFonts w:hint="eastAsia"/>
          <w:bCs/>
          <w:color w:val="000000"/>
        </w:rPr>
        <w:t>5年达到主伐龄级，其它珍稀树种侧柏、黄连木、五角枫、元宝枫、麻栎、黄檀、楸树、枫香、榉树等按25年木材价格折算期末林分保留价值。</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根据项目情况，结合市场单价并考虑采摘、销售费用等综合因素，测算苗木及木材平均价格如下如表3.3所示：</w:t>
      </w:r>
    </w:p>
    <w:p>
      <w:pPr>
        <w:widowControl/>
        <w:tabs>
          <w:tab w:val="clear" w:pos="3261"/>
          <w:tab w:val="clear" w:pos="4536"/>
        </w:tabs>
        <w:adjustRightInd w:val="0"/>
        <w:snapToGrid w:val="0"/>
        <w:ind w:firstLine="0" w:firstLineChars="0"/>
        <w:jc w:val="center"/>
        <w:rPr>
          <w:bCs/>
          <w:color w:val="000000"/>
        </w:rPr>
      </w:pPr>
      <w:r>
        <w:rPr>
          <w:rFonts w:hint="eastAsia"/>
          <w:bCs/>
          <w:color w:val="000000"/>
        </w:rPr>
        <w:t>表3.3</w:t>
      </w:r>
      <w:r>
        <w:rPr>
          <w:bCs/>
          <w:color w:val="000000"/>
        </w:rPr>
        <w:t xml:space="preserve"> </w:t>
      </w:r>
      <w:r>
        <w:rPr>
          <w:rFonts w:hint="eastAsia"/>
          <w:bCs/>
          <w:color w:val="000000"/>
        </w:rPr>
        <w:t>项目产品市场价格预测</w:t>
      </w:r>
    </w:p>
    <w:p>
      <w:pPr>
        <w:widowControl/>
        <w:tabs>
          <w:tab w:val="clear" w:pos="3261"/>
          <w:tab w:val="clear" w:pos="4536"/>
        </w:tabs>
        <w:adjustRightInd w:val="0"/>
        <w:snapToGrid w:val="0"/>
        <w:ind w:firstLine="0" w:firstLineChars="0"/>
        <w:jc w:val="right"/>
        <w:rPr>
          <w:bCs/>
          <w:color w:val="000000"/>
          <w:sz w:val="24"/>
        </w:rPr>
      </w:pPr>
      <w:r>
        <w:rPr>
          <w:rFonts w:hint="eastAsia"/>
          <w:bCs/>
          <w:color w:val="000000"/>
          <w:sz w:val="24"/>
        </w:rPr>
        <w:t>单位：厘米、元、元</w:t>
      </w:r>
      <w:r>
        <w:rPr>
          <w:bCs/>
          <w:color w:val="000000"/>
          <w:sz w:val="24"/>
        </w:rPr>
        <w:t>/</w:t>
      </w:r>
      <w:r>
        <w:rPr>
          <w:rFonts w:hint="eastAsia"/>
          <w:bCs/>
          <w:color w:val="000000"/>
          <w:sz w:val="24"/>
        </w:rPr>
        <w:t>立方米</w:t>
      </w:r>
    </w:p>
    <w:tbl>
      <w:tblPr>
        <w:tblStyle w:val="44"/>
        <w:tblW w:w="8420" w:type="dxa"/>
        <w:tblInd w:w="108" w:type="dxa"/>
        <w:tblLayout w:type="fixed"/>
        <w:tblCellMar>
          <w:top w:w="0" w:type="dxa"/>
          <w:left w:w="108" w:type="dxa"/>
          <w:bottom w:w="0" w:type="dxa"/>
          <w:right w:w="108" w:type="dxa"/>
        </w:tblCellMar>
      </w:tblPr>
      <w:tblGrid>
        <w:gridCol w:w="462"/>
        <w:gridCol w:w="1104"/>
        <w:gridCol w:w="1134"/>
        <w:gridCol w:w="850"/>
        <w:gridCol w:w="1843"/>
        <w:gridCol w:w="1843"/>
        <w:gridCol w:w="1184"/>
      </w:tblGrid>
      <w:tr>
        <w:tblPrEx>
          <w:tblLayout w:type="fixed"/>
          <w:tblCellMar>
            <w:top w:w="0" w:type="dxa"/>
            <w:left w:w="108" w:type="dxa"/>
            <w:bottom w:w="0" w:type="dxa"/>
            <w:right w:w="108" w:type="dxa"/>
          </w:tblCellMar>
        </w:tblPrEx>
        <w:trPr>
          <w:trHeight w:val="750" w:hRule="atLeast"/>
          <w:tblHeader/>
        </w:trPr>
        <w:tc>
          <w:tcPr>
            <w:tcW w:w="4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序号</w:t>
            </w:r>
          </w:p>
        </w:tc>
        <w:tc>
          <w:tcPr>
            <w:tcW w:w="11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项目</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绿化苗木</w:t>
            </w:r>
          </w:p>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规格及价格</w:t>
            </w:r>
          </w:p>
        </w:tc>
        <w:tc>
          <w:tcPr>
            <w:tcW w:w="4870" w:type="dxa"/>
            <w:gridSpan w:val="3"/>
            <w:tcBorders>
              <w:top w:val="single" w:color="auto" w:sz="4" w:space="0"/>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木材规格及价格</w:t>
            </w:r>
          </w:p>
        </w:tc>
      </w:tr>
      <w:tr>
        <w:tblPrEx>
          <w:tblLayout w:type="fixed"/>
          <w:tblCellMar>
            <w:top w:w="0" w:type="dxa"/>
            <w:left w:w="108" w:type="dxa"/>
            <w:bottom w:w="0" w:type="dxa"/>
            <w:right w:w="108" w:type="dxa"/>
          </w:tblCellMar>
        </w:tblPrEx>
        <w:trPr>
          <w:trHeight w:val="809" w:hRule="atLeast"/>
          <w:tblHeader/>
        </w:trPr>
        <w:tc>
          <w:tcPr>
            <w:tcW w:w="462"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lear" w:pos="3261"/>
                <w:tab w:val="clear" w:pos="4536"/>
              </w:tabs>
              <w:adjustRightInd w:val="0"/>
              <w:snapToGrid w:val="0"/>
              <w:ind w:firstLine="0" w:firstLineChars="0"/>
              <w:jc w:val="left"/>
              <w:rPr>
                <w:bCs/>
                <w:color w:val="000000"/>
                <w:kern w:val="0"/>
                <w:sz w:val="24"/>
                <w:szCs w:val="24"/>
              </w:rPr>
            </w:pPr>
          </w:p>
        </w:tc>
        <w:tc>
          <w:tcPr>
            <w:tcW w:w="110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lear" w:pos="3261"/>
                <w:tab w:val="clear" w:pos="4536"/>
              </w:tabs>
              <w:adjustRightInd w:val="0"/>
              <w:snapToGrid w:val="0"/>
              <w:ind w:firstLine="0" w:firstLineChars="0"/>
              <w:jc w:val="left"/>
              <w:rPr>
                <w:bCs/>
                <w:color w:val="000000"/>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规格（米径</w:t>
            </w:r>
            <w:r>
              <w:rPr>
                <w:bCs/>
                <w:color w:val="000000"/>
                <w:kern w:val="0"/>
                <w:sz w:val="24"/>
                <w:szCs w:val="24"/>
              </w:rPr>
              <w:t>cm</w:t>
            </w:r>
            <w:r>
              <w:rPr>
                <w:rFonts w:hint="eastAsia"/>
                <w:bCs/>
                <w:color w:val="000000"/>
                <w:kern w:val="0"/>
                <w:sz w:val="24"/>
                <w:szCs w:val="24"/>
              </w:rPr>
              <w:t>）</w:t>
            </w:r>
          </w:p>
        </w:tc>
        <w:tc>
          <w:tcPr>
            <w:tcW w:w="85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单价</w:t>
            </w:r>
            <w:r>
              <w:rPr>
                <w:bCs/>
                <w:color w:val="000000"/>
                <w:kern w:val="0"/>
                <w:sz w:val="24"/>
                <w:szCs w:val="24"/>
              </w:rPr>
              <w:t>(</w:t>
            </w:r>
            <w:r>
              <w:rPr>
                <w:rFonts w:hint="eastAsia"/>
                <w:bCs/>
                <w:color w:val="000000"/>
                <w:kern w:val="0"/>
                <w:sz w:val="24"/>
                <w:szCs w:val="24"/>
              </w:rPr>
              <w:t>元</w:t>
            </w:r>
            <w:r>
              <w:rPr>
                <w:bCs/>
                <w:color w:val="000000"/>
                <w:kern w:val="0"/>
                <w:sz w:val="24"/>
                <w:szCs w:val="24"/>
              </w:rPr>
              <w:t>)</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小径材</w:t>
            </w:r>
          </w:p>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w:t>
            </w:r>
            <w:r>
              <w:rPr>
                <w:bCs/>
                <w:color w:val="000000"/>
                <w:kern w:val="0"/>
                <w:sz w:val="24"/>
                <w:szCs w:val="24"/>
              </w:rPr>
              <w:t>14cm-18cm</w:t>
            </w:r>
            <w:r>
              <w:rPr>
                <w:rFonts w:hint="eastAsia"/>
                <w:bCs/>
                <w:color w:val="000000"/>
                <w:kern w:val="0"/>
                <w:sz w:val="24"/>
                <w:szCs w:val="24"/>
              </w:rPr>
              <w:t>）</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中径材</w:t>
            </w:r>
          </w:p>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w:t>
            </w:r>
            <w:r>
              <w:rPr>
                <w:bCs/>
                <w:color w:val="000000"/>
                <w:kern w:val="0"/>
                <w:sz w:val="24"/>
                <w:szCs w:val="24"/>
              </w:rPr>
              <w:t>20cm-24cm</w:t>
            </w:r>
            <w:r>
              <w:rPr>
                <w:rFonts w:hint="eastAsia"/>
                <w:bCs/>
                <w:color w:val="000000"/>
                <w:kern w:val="0"/>
                <w:sz w:val="24"/>
                <w:szCs w:val="24"/>
              </w:rPr>
              <w:t>）</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大径材</w:t>
            </w:r>
            <w:r>
              <w:rPr>
                <w:bCs/>
                <w:color w:val="000000"/>
                <w:kern w:val="0"/>
                <w:sz w:val="24"/>
                <w:szCs w:val="24"/>
              </w:rPr>
              <w:t>(</w:t>
            </w:r>
            <w:r>
              <w:rPr>
                <w:rFonts w:hint="eastAsia"/>
                <w:bCs/>
                <w:color w:val="000000"/>
                <w:kern w:val="0"/>
                <w:sz w:val="24"/>
                <w:szCs w:val="24"/>
              </w:rPr>
              <w:t>＞</w:t>
            </w:r>
            <w:r>
              <w:rPr>
                <w:bCs/>
                <w:color w:val="000000"/>
                <w:kern w:val="0"/>
                <w:sz w:val="24"/>
                <w:szCs w:val="24"/>
              </w:rPr>
              <w:t>26cm)</w:t>
            </w:r>
          </w:p>
        </w:tc>
      </w:tr>
      <w:tr>
        <w:tblPrEx>
          <w:tblLayout w:type="fixed"/>
          <w:tblCellMar>
            <w:top w:w="0" w:type="dxa"/>
            <w:left w:w="108" w:type="dxa"/>
            <w:bottom w:w="0" w:type="dxa"/>
            <w:right w:w="108" w:type="dxa"/>
          </w:tblCellMar>
        </w:tblPrEx>
        <w:trPr>
          <w:trHeight w:val="315" w:hRule="atLeast"/>
        </w:trPr>
        <w:tc>
          <w:tcPr>
            <w:tcW w:w="462"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w:t>
            </w:r>
          </w:p>
        </w:tc>
        <w:tc>
          <w:tcPr>
            <w:tcW w:w="11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楸树</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14</w:t>
            </w:r>
          </w:p>
        </w:tc>
        <w:tc>
          <w:tcPr>
            <w:tcW w:w="85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600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462"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w:t>
            </w:r>
          </w:p>
        </w:tc>
        <w:tc>
          <w:tcPr>
            <w:tcW w:w="11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黄檀</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w:t>
            </w:r>
          </w:p>
        </w:tc>
        <w:tc>
          <w:tcPr>
            <w:tcW w:w="85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180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800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1600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2800</w:t>
            </w:r>
          </w:p>
        </w:tc>
      </w:tr>
      <w:tr>
        <w:tblPrEx>
          <w:tblLayout w:type="fixed"/>
          <w:tblCellMar>
            <w:top w:w="0" w:type="dxa"/>
            <w:left w:w="108" w:type="dxa"/>
            <w:bottom w:w="0" w:type="dxa"/>
            <w:right w:w="108" w:type="dxa"/>
          </w:tblCellMar>
        </w:tblPrEx>
        <w:trPr>
          <w:trHeight w:val="315" w:hRule="atLeast"/>
        </w:trPr>
        <w:tc>
          <w:tcPr>
            <w:tcW w:w="462"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3</w:t>
            </w:r>
          </w:p>
        </w:tc>
        <w:tc>
          <w:tcPr>
            <w:tcW w:w="11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五角枫</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85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2400</w:t>
            </w:r>
          </w:p>
        </w:tc>
      </w:tr>
      <w:tr>
        <w:tblPrEx>
          <w:tblLayout w:type="fixed"/>
          <w:tblCellMar>
            <w:top w:w="0" w:type="dxa"/>
            <w:left w:w="108" w:type="dxa"/>
            <w:bottom w:w="0" w:type="dxa"/>
            <w:right w:w="108" w:type="dxa"/>
          </w:tblCellMar>
        </w:tblPrEx>
        <w:trPr>
          <w:trHeight w:val="315" w:hRule="atLeast"/>
        </w:trPr>
        <w:tc>
          <w:tcPr>
            <w:tcW w:w="462"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4</w:t>
            </w:r>
          </w:p>
        </w:tc>
        <w:tc>
          <w:tcPr>
            <w:tcW w:w="11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元宝枫</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85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462"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5</w:t>
            </w:r>
          </w:p>
        </w:tc>
        <w:tc>
          <w:tcPr>
            <w:tcW w:w="11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枫香</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85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200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550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1400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2400</w:t>
            </w:r>
          </w:p>
        </w:tc>
      </w:tr>
      <w:tr>
        <w:tblPrEx>
          <w:tblLayout w:type="fixed"/>
          <w:tblCellMar>
            <w:top w:w="0" w:type="dxa"/>
            <w:left w:w="108" w:type="dxa"/>
            <w:bottom w:w="0" w:type="dxa"/>
            <w:right w:w="108" w:type="dxa"/>
          </w:tblCellMar>
        </w:tblPrEx>
        <w:trPr>
          <w:trHeight w:val="315" w:hRule="atLeast"/>
        </w:trPr>
        <w:tc>
          <w:tcPr>
            <w:tcW w:w="462"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w:t>
            </w:r>
          </w:p>
        </w:tc>
        <w:tc>
          <w:tcPr>
            <w:tcW w:w="11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侧柏</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500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2400</w:t>
            </w:r>
          </w:p>
        </w:tc>
      </w:tr>
      <w:tr>
        <w:tblPrEx>
          <w:tblLayout w:type="fixed"/>
          <w:tblCellMar>
            <w:top w:w="0" w:type="dxa"/>
            <w:left w:w="108" w:type="dxa"/>
            <w:bottom w:w="0" w:type="dxa"/>
            <w:right w:w="108" w:type="dxa"/>
          </w:tblCellMar>
        </w:tblPrEx>
        <w:trPr>
          <w:trHeight w:val="315" w:hRule="atLeast"/>
        </w:trPr>
        <w:tc>
          <w:tcPr>
            <w:tcW w:w="462"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7</w:t>
            </w:r>
          </w:p>
        </w:tc>
        <w:tc>
          <w:tcPr>
            <w:tcW w:w="11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黄连木</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800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462"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8</w:t>
            </w:r>
          </w:p>
        </w:tc>
        <w:tc>
          <w:tcPr>
            <w:tcW w:w="11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臭椿</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400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462"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9</w:t>
            </w:r>
          </w:p>
        </w:tc>
        <w:tc>
          <w:tcPr>
            <w:tcW w:w="11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麻栎</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800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1400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2300</w:t>
            </w:r>
          </w:p>
        </w:tc>
      </w:tr>
      <w:tr>
        <w:tblPrEx>
          <w:tblLayout w:type="fixed"/>
          <w:tblCellMar>
            <w:top w:w="0" w:type="dxa"/>
            <w:left w:w="108" w:type="dxa"/>
            <w:bottom w:w="0" w:type="dxa"/>
            <w:right w:w="108" w:type="dxa"/>
          </w:tblCellMar>
        </w:tblPrEx>
        <w:trPr>
          <w:trHeight w:val="315" w:hRule="atLeast"/>
        </w:trPr>
        <w:tc>
          <w:tcPr>
            <w:tcW w:w="462"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11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刺槐</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rPr>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450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800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1000</w:t>
            </w:r>
          </w:p>
        </w:tc>
      </w:tr>
      <w:tr>
        <w:tblPrEx>
          <w:tblLayout w:type="fixed"/>
          <w:tblCellMar>
            <w:top w:w="0" w:type="dxa"/>
            <w:left w:w="108" w:type="dxa"/>
            <w:bottom w:w="0" w:type="dxa"/>
            <w:right w:w="108" w:type="dxa"/>
          </w:tblCellMar>
        </w:tblPrEx>
        <w:trPr>
          <w:trHeight w:val="315" w:hRule="atLeast"/>
        </w:trPr>
        <w:tc>
          <w:tcPr>
            <w:tcW w:w="462"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11</w:t>
            </w:r>
          </w:p>
        </w:tc>
        <w:tc>
          <w:tcPr>
            <w:tcW w:w="11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欧美杨</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rPr>
                <w:color w:val="000000"/>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400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700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1400</w:t>
            </w:r>
          </w:p>
        </w:tc>
      </w:tr>
    </w:tbl>
    <w:p>
      <w:pPr>
        <w:widowControl/>
        <w:tabs>
          <w:tab w:val="clear" w:pos="3261"/>
          <w:tab w:val="clear" w:pos="4536"/>
        </w:tabs>
        <w:adjustRightInd w:val="0"/>
        <w:snapToGrid w:val="0"/>
        <w:spacing w:line="360" w:lineRule="auto"/>
        <w:ind w:firstLine="560" w:firstLineChars="200"/>
        <w:rPr>
          <w:bCs/>
          <w:color w:val="000000"/>
        </w:rPr>
      </w:pP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枝桠材：按主伐材蓄积量</w:t>
      </w:r>
      <w:r>
        <w:rPr>
          <w:bCs/>
          <w:color w:val="000000"/>
        </w:rPr>
        <w:t>20%</w:t>
      </w:r>
      <w:r>
        <w:rPr>
          <w:rFonts w:hint="eastAsia"/>
          <w:bCs/>
          <w:color w:val="000000"/>
        </w:rPr>
        <w:t>计算，并按</w:t>
      </w:r>
      <w:r>
        <w:rPr>
          <w:bCs/>
          <w:color w:val="000000"/>
        </w:rPr>
        <w:t>70%</w:t>
      </w:r>
      <w:r>
        <w:rPr>
          <w:rFonts w:hint="eastAsia"/>
          <w:bCs/>
          <w:color w:val="000000"/>
        </w:rPr>
        <w:t>回收，枝桠材</w:t>
      </w:r>
      <w:r>
        <w:rPr>
          <w:bCs/>
          <w:color w:val="000000"/>
        </w:rPr>
        <w:t>300</w:t>
      </w:r>
      <w:r>
        <w:rPr>
          <w:rFonts w:hint="eastAsia"/>
          <w:bCs/>
          <w:color w:val="000000"/>
        </w:rPr>
        <w:t>元/吨。</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林果产品：经济林主要树种为核桃、石榴、樱桃、桃等。</w:t>
      </w:r>
      <w:r>
        <w:rPr>
          <w:bCs/>
          <w:color w:val="000000"/>
        </w:rPr>
        <w:t>4－6</w:t>
      </w:r>
      <w:r>
        <w:rPr>
          <w:rFonts w:hint="eastAsia"/>
          <w:bCs/>
          <w:color w:val="000000"/>
        </w:rPr>
        <w:t>年为初产期，第</w:t>
      </w:r>
      <w:r>
        <w:rPr>
          <w:bCs/>
          <w:color w:val="000000"/>
        </w:rPr>
        <w:t>7</w:t>
      </w:r>
      <w:r>
        <w:rPr>
          <w:rFonts w:hint="eastAsia"/>
          <w:bCs/>
          <w:color w:val="000000"/>
        </w:rPr>
        <w:t>年进入盛果期。结合市场单价并考虑采摘、销售费用等综合因素，测算设定核桃1</w:t>
      </w:r>
      <w:r>
        <w:rPr>
          <w:bCs/>
          <w:color w:val="000000"/>
        </w:rPr>
        <w:t>5</w:t>
      </w:r>
      <w:r>
        <w:rPr>
          <w:rFonts w:hint="eastAsia"/>
          <w:bCs/>
          <w:color w:val="000000"/>
        </w:rPr>
        <w:t>元/公斤，石榴</w:t>
      </w:r>
      <w:r>
        <w:rPr>
          <w:bCs/>
          <w:color w:val="000000"/>
        </w:rPr>
        <w:t>3元/公斤，</w:t>
      </w:r>
      <w:r>
        <w:rPr>
          <w:rFonts w:hint="eastAsia"/>
          <w:bCs/>
          <w:color w:val="000000"/>
        </w:rPr>
        <w:t>桃</w:t>
      </w:r>
      <w:r>
        <w:rPr>
          <w:bCs/>
          <w:color w:val="000000"/>
        </w:rPr>
        <w:t>2元/公斤，</w:t>
      </w:r>
      <w:r>
        <w:rPr>
          <w:rFonts w:hint="eastAsia"/>
          <w:bCs/>
          <w:color w:val="000000"/>
        </w:rPr>
        <w:t>樱桃</w:t>
      </w:r>
      <w:r>
        <w:rPr>
          <w:bCs/>
          <w:color w:val="000000"/>
        </w:rPr>
        <w:t>4元/公斤</w:t>
      </w:r>
      <w:r>
        <w:rPr>
          <w:rFonts w:hint="eastAsia"/>
          <w:bCs/>
          <w:color w:val="000000"/>
        </w:rPr>
        <w:t>。</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销售总收入：项目收入由各年间木材及苗木、果品销售收入构成，经估算，运营期内总收入为</w:t>
      </w:r>
      <w:r>
        <w:rPr>
          <w:bCs/>
          <w:color w:val="000000"/>
        </w:rPr>
        <w:t>74567.30</w:t>
      </w:r>
      <w:r>
        <w:rPr>
          <w:rFonts w:hint="eastAsia"/>
          <w:bCs/>
          <w:color w:val="000000"/>
        </w:rPr>
        <w:t>万元</w:t>
      </w:r>
      <w:r>
        <w:rPr>
          <w:bCs/>
          <w:color w:val="000000"/>
        </w:rPr>
        <w:t>。</w:t>
      </w:r>
    </w:p>
    <w:p>
      <w:pPr>
        <w:widowControl/>
        <w:tabs>
          <w:tab w:val="clear" w:pos="3261"/>
          <w:tab w:val="clear" w:pos="4536"/>
        </w:tabs>
        <w:adjustRightInd w:val="0"/>
        <w:snapToGrid w:val="0"/>
        <w:spacing w:line="360" w:lineRule="auto"/>
        <w:ind w:firstLine="562" w:firstLineChars="200"/>
        <w:rPr>
          <w:b/>
          <w:bCs/>
          <w:color w:val="000000"/>
        </w:rPr>
      </w:pPr>
      <w:r>
        <w:rPr>
          <w:rFonts w:hint="eastAsia"/>
          <w:b/>
          <w:bCs/>
          <w:color w:val="000000"/>
        </w:rPr>
        <w:t>2）湛河区</w:t>
      </w:r>
    </w:p>
    <w:p>
      <w:pPr>
        <w:widowControl/>
        <w:tabs>
          <w:tab w:val="clear" w:pos="3261"/>
          <w:tab w:val="clear" w:pos="4536"/>
        </w:tabs>
        <w:adjustRightInd w:val="0"/>
        <w:snapToGrid w:val="0"/>
        <w:spacing w:line="360" w:lineRule="auto"/>
        <w:ind w:firstLine="560" w:firstLineChars="200"/>
        <w:rPr>
          <w:bCs/>
          <w:color w:val="000000"/>
        </w:rPr>
      </w:pPr>
      <w:r>
        <w:rPr>
          <w:rFonts w:hint="eastAsia" w:cs="宋体"/>
          <w:bCs/>
          <w:color w:val="000000"/>
        </w:rPr>
        <w:t>①</w:t>
      </w:r>
      <w:r>
        <w:rPr>
          <w:bCs/>
          <w:color w:val="000000"/>
        </w:rPr>
        <w:t>出材量：根据一个轮伐期间计算，</w:t>
      </w:r>
      <w:r>
        <w:rPr>
          <w:rFonts w:hint="eastAsia"/>
          <w:bCs/>
          <w:color w:val="000000"/>
        </w:rPr>
        <w:t>项目</w:t>
      </w:r>
      <w:r>
        <w:rPr>
          <w:bCs/>
          <w:color w:val="000000"/>
        </w:rPr>
        <w:t>树种轮伐期均大于25年，按立木折算期末保留林分材积。25年时，预测期末林分保留价值，可生产立木材积21.3355万立方米，枝桠材7.1118万吨。</w:t>
      </w:r>
    </w:p>
    <w:p>
      <w:pPr>
        <w:widowControl/>
        <w:tabs>
          <w:tab w:val="clear" w:pos="3261"/>
          <w:tab w:val="clear" w:pos="4536"/>
        </w:tabs>
        <w:adjustRightInd w:val="0"/>
        <w:snapToGrid w:val="0"/>
        <w:spacing w:line="360" w:lineRule="auto"/>
        <w:ind w:firstLine="560" w:firstLineChars="200"/>
        <w:rPr>
          <w:bCs/>
          <w:color w:val="000000"/>
        </w:rPr>
      </w:pPr>
      <w:r>
        <w:rPr>
          <w:rFonts w:hint="eastAsia" w:cs="宋体"/>
          <w:bCs/>
          <w:color w:val="000000"/>
        </w:rPr>
        <w:t>②</w:t>
      </w:r>
      <w:r>
        <w:rPr>
          <w:bCs/>
          <w:color w:val="000000"/>
        </w:rPr>
        <w:t>出售量（整株）：在</w:t>
      </w:r>
      <w:r>
        <w:rPr>
          <w:rFonts w:hint="eastAsia"/>
          <w:bCs/>
          <w:color w:val="000000"/>
        </w:rPr>
        <w:t>造林</w:t>
      </w:r>
      <w:r>
        <w:rPr>
          <w:bCs/>
          <w:color w:val="000000"/>
        </w:rPr>
        <w:t>第</w:t>
      </w:r>
      <w:r>
        <w:rPr>
          <w:rFonts w:hint="eastAsia"/>
          <w:bCs/>
          <w:color w:val="000000"/>
        </w:rPr>
        <w:t>6</w:t>
      </w:r>
      <w:r>
        <w:rPr>
          <w:bCs/>
          <w:color w:val="000000"/>
        </w:rPr>
        <w:t>年采取整株移出的方式出售苗木，</w:t>
      </w:r>
      <w:r>
        <w:rPr>
          <w:rFonts w:hint="eastAsia"/>
          <w:bCs/>
          <w:color w:val="000000"/>
        </w:rPr>
        <w:t>运营期</w:t>
      </w:r>
      <w:r>
        <w:rPr>
          <w:bCs/>
          <w:color w:val="000000"/>
        </w:rPr>
        <w:t>期内，出售绿化苗木</w:t>
      </w:r>
      <w:r>
        <w:rPr>
          <w:rFonts w:hint="eastAsia"/>
          <w:bCs/>
          <w:color w:val="000000"/>
        </w:rPr>
        <w:t>约</w:t>
      </w:r>
      <w:r>
        <w:rPr>
          <w:bCs/>
          <w:color w:val="000000"/>
        </w:rPr>
        <w:t>132.72万株。</w:t>
      </w:r>
    </w:p>
    <w:p>
      <w:pPr>
        <w:widowControl/>
        <w:tabs>
          <w:tab w:val="clear" w:pos="3261"/>
          <w:tab w:val="clear" w:pos="4536"/>
        </w:tabs>
        <w:adjustRightInd w:val="0"/>
        <w:snapToGrid w:val="0"/>
        <w:spacing w:line="360" w:lineRule="auto"/>
        <w:ind w:firstLine="560" w:firstLineChars="200"/>
        <w:rPr>
          <w:bCs/>
          <w:color w:val="000000"/>
        </w:rPr>
      </w:pPr>
      <w:r>
        <w:rPr>
          <w:rFonts w:hint="eastAsia" w:cs="宋体"/>
          <w:bCs/>
          <w:color w:val="000000"/>
        </w:rPr>
        <w:t>③</w:t>
      </w:r>
      <w:r>
        <w:rPr>
          <w:bCs/>
          <w:color w:val="000000"/>
        </w:rPr>
        <w:t>林木果实：</w:t>
      </w:r>
      <w:r>
        <w:rPr>
          <w:rFonts w:hint="eastAsia"/>
          <w:bCs/>
          <w:color w:val="000000"/>
        </w:rPr>
        <w:t>合作期</w:t>
      </w:r>
      <w:r>
        <w:rPr>
          <w:bCs/>
          <w:color w:val="000000"/>
        </w:rPr>
        <w:t>内共生产林果产品1.50万吨。其中石榴0.80万吨、樱桃0.70万吨。</w:t>
      </w:r>
    </w:p>
    <w:p>
      <w:pPr>
        <w:widowControl/>
        <w:tabs>
          <w:tab w:val="clear" w:pos="3261"/>
          <w:tab w:val="clear" w:pos="4536"/>
        </w:tabs>
        <w:adjustRightInd w:val="0"/>
        <w:snapToGrid w:val="0"/>
        <w:spacing w:line="360" w:lineRule="auto"/>
        <w:ind w:firstLine="560" w:firstLineChars="200"/>
        <w:rPr>
          <w:bCs/>
          <w:color w:val="000000"/>
        </w:rPr>
      </w:pPr>
      <w:r>
        <w:rPr>
          <w:rFonts w:hint="eastAsia" w:cs="宋体"/>
          <w:bCs/>
          <w:color w:val="000000"/>
        </w:rPr>
        <w:t>④</w:t>
      </w:r>
      <w:r>
        <w:rPr>
          <w:bCs/>
          <w:color w:val="000000"/>
        </w:rPr>
        <w:t>收入估算</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在分析研究</w:t>
      </w:r>
      <w:r>
        <w:rPr>
          <w:bCs/>
          <w:color w:val="000000"/>
        </w:rPr>
        <w:t>2007－2016年价格行情的基础上，选取木材及林果的供给量、综合平均价格为研究对象，分析木材和林果供给增长率、价格变化率，并采用价格变化弹性系数法，预测市场价格变化趋势。</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主材产品计算：所选造林树种在项目运营期内均未达到主伐龄级，按</w:t>
      </w:r>
      <w:r>
        <w:rPr>
          <w:bCs/>
          <w:color w:val="000000"/>
        </w:rPr>
        <w:t>25年木材价格折算期末林分保留价值。</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根据项目情况，结合市场单价并考虑采摘、销售费用等综合因素，测算苗木及木材平均价格如表3.4所示：</w:t>
      </w:r>
    </w:p>
    <w:p>
      <w:pPr>
        <w:widowControl/>
        <w:tabs>
          <w:tab w:val="clear" w:pos="3261"/>
          <w:tab w:val="clear" w:pos="4536"/>
        </w:tabs>
        <w:adjustRightInd w:val="0"/>
        <w:snapToGrid w:val="0"/>
        <w:ind w:firstLine="0" w:firstLineChars="0"/>
        <w:jc w:val="center"/>
        <w:rPr>
          <w:bCs/>
          <w:color w:val="000000"/>
        </w:rPr>
      </w:pPr>
      <w:r>
        <w:rPr>
          <w:rFonts w:hint="eastAsia"/>
          <w:bCs/>
          <w:color w:val="000000"/>
        </w:rPr>
        <w:t>表3.4</w:t>
      </w:r>
      <w:r>
        <w:rPr>
          <w:bCs/>
          <w:color w:val="000000"/>
        </w:rPr>
        <w:t xml:space="preserve"> </w:t>
      </w:r>
      <w:r>
        <w:rPr>
          <w:rFonts w:hint="eastAsia"/>
          <w:bCs/>
          <w:color w:val="000000"/>
        </w:rPr>
        <w:t>项目产品市场价格预测</w:t>
      </w:r>
    </w:p>
    <w:p>
      <w:pPr>
        <w:widowControl/>
        <w:tabs>
          <w:tab w:val="clear" w:pos="3261"/>
          <w:tab w:val="clear" w:pos="4536"/>
        </w:tabs>
        <w:adjustRightInd w:val="0"/>
        <w:snapToGrid w:val="0"/>
        <w:ind w:firstLine="0" w:firstLineChars="0"/>
        <w:jc w:val="right"/>
        <w:rPr>
          <w:bCs/>
          <w:color w:val="000000"/>
          <w:sz w:val="24"/>
        </w:rPr>
      </w:pPr>
      <w:r>
        <w:rPr>
          <w:rFonts w:hint="eastAsia"/>
          <w:bCs/>
          <w:color w:val="000000"/>
          <w:sz w:val="24"/>
        </w:rPr>
        <w:t>单位：厘米、元、元</w:t>
      </w:r>
      <w:r>
        <w:rPr>
          <w:bCs/>
          <w:color w:val="000000"/>
          <w:sz w:val="24"/>
        </w:rPr>
        <w:t>/</w:t>
      </w:r>
      <w:r>
        <w:rPr>
          <w:rFonts w:hint="eastAsia"/>
          <w:bCs/>
          <w:color w:val="000000"/>
          <w:sz w:val="24"/>
        </w:rPr>
        <w:t>立方米</w:t>
      </w:r>
    </w:p>
    <w:tbl>
      <w:tblPr>
        <w:tblStyle w:val="44"/>
        <w:tblW w:w="8420" w:type="dxa"/>
        <w:tblInd w:w="108" w:type="dxa"/>
        <w:tblLayout w:type="fixed"/>
        <w:tblCellMar>
          <w:top w:w="0" w:type="dxa"/>
          <w:left w:w="108" w:type="dxa"/>
          <w:bottom w:w="0" w:type="dxa"/>
          <w:right w:w="108" w:type="dxa"/>
        </w:tblCellMar>
      </w:tblPr>
      <w:tblGrid>
        <w:gridCol w:w="550"/>
        <w:gridCol w:w="1010"/>
        <w:gridCol w:w="1134"/>
        <w:gridCol w:w="852"/>
        <w:gridCol w:w="1693"/>
        <w:gridCol w:w="1804"/>
        <w:gridCol w:w="1377"/>
      </w:tblGrid>
      <w:tr>
        <w:tblPrEx>
          <w:tblLayout w:type="fixed"/>
          <w:tblCellMar>
            <w:top w:w="0" w:type="dxa"/>
            <w:left w:w="108" w:type="dxa"/>
            <w:bottom w:w="0" w:type="dxa"/>
            <w:right w:w="108" w:type="dxa"/>
          </w:tblCellMar>
        </w:tblPrEx>
        <w:trPr>
          <w:trHeight w:val="635" w:hRule="atLeast"/>
          <w:tblHeader/>
        </w:trPr>
        <w:tc>
          <w:tcPr>
            <w:tcW w:w="5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序号</w:t>
            </w:r>
          </w:p>
        </w:tc>
        <w:tc>
          <w:tcPr>
            <w:tcW w:w="10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项目</w:t>
            </w:r>
          </w:p>
        </w:tc>
        <w:tc>
          <w:tcPr>
            <w:tcW w:w="1986" w:type="dxa"/>
            <w:gridSpan w:val="2"/>
            <w:tcBorders>
              <w:top w:val="single" w:color="auto" w:sz="4" w:space="0"/>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绿化苗木</w:t>
            </w:r>
          </w:p>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规格及价格</w:t>
            </w:r>
          </w:p>
        </w:tc>
        <w:tc>
          <w:tcPr>
            <w:tcW w:w="4874" w:type="dxa"/>
            <w:gridSpan w:val="3"/>
            <w:tcBorders>
              <w:top w:val="single" w:color="auto" w:sz="4" w:space="0"/>
              <w:left w:val="nil"/>
              <w:bottom w:val="single" w:color="auto" w:sz="4" w:space="0"/>
              <w:right w:val="single" w:color="000000"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木材规格及价格</w:t>
            </w:r>
          </w:p>
        </w:tc>
      </w:tr>
      <w:tr>
        <w:tblPrEx>
          <w:tblLayout w:type="fixed"/>
          <w:tblCellMar>
            <w:top w:w="0" w:type="dxa"/>
            <w:left w:w="108" w:type="dxa"/>
            <w:bottom w:w="0" w:type="dxa"/>
            <w:right w:w="108" w:type="dxa"/>
          </w:tblCellMar>
        </w:tblPrEx>
        <w:trPr>
          <w:trHeight w:val="559" w:hRule="atLeast"/>
          <w:tblHeader/>
        </w:trPr>
        <w:tc>
          <w:tcPr>
            <w:tcW w:w="550" w:type="dxa"/>
            <w:vMerge w:val="continue"/>
            <w:tcBorders>
              <w:top w:val="single" w:color="auto" w:sz="4" w:space="0"/>
              <w:left w:val="single" w:color="auto" w:sz="4" w:space="0"/>
              <w:bottom w:val="single" w:color="000000" w:sz="4" w:space="0"/>
              <w:right w:val="single" w:color="auto" w:sz="4" w:space="0"/>
            </w:tcBorders>
            <w:vAlign w:val="center"/>
          </w:tcPr>
          <w:p>
            <w:pPr>
              <w:widowControl/>
              <w:tabs>
                <w:tab w:val="clear" w:pos="3261"/>
                <w:tab w:val="clear" w:pos="4536"/>
              </w:tabs>
              <w:adjustRightInd w:val="0"/>
              <w:snapToGrid w:val="0"/>
              <w:ind w:firstLine="0" w:firstLineChars="0"/>
              <w:jc w:val="left"/>
              <w:rPr>
                <w:bCs/>
                <w:color w:val="000000"/>
                <w:kern w:val="0"/>
                <w:sz w:val="24"/>
                <w:szCs w:val="24"/>
              </w:rPr>
            </w:pPr>
          </w:p>
        </w:tc>
        <w:tc>
          <w:tcPr>
            <w:tcW w:w="1010" w:type="dxa"/>
            <w:vMerge w:val="continue"/>
            <w:tcBorders>
              <w:top w:val="single" w:color="auto" w:sz="4" w:space="0"/>
              <w:left w:val="single" w:color="auto" w:sz="4" w:space="0"/>
              <w:bottom w:val="single" w:color="000000" w:sz="4" w:space="0"/>
              <w:right w:val="single" w:color="auto" w:sz="4" w:space="0"/>
            </w:tcBorders>
            <w:vAlign w:val="center"/>
          </w:tcPr>
          <w:p>
            <w:pPr>
              <w:widowControl/>
              <w:tabs>
                <w:tab w:val="clear" w:pos="3261"/>
                <w:tab w:val="clear" w:pos="4536"/>
              </w:tabs>
              <w:adjustRightInd w:val="0"/>
              <w:snapToGrid w:val="0"/>
              <w:ind w:firstLine="0" w:firstLineChars="0"/>
              <w:jc w:val="left"/>
              <w:rPr>
                <w:bCs/>
                <w:color w:val="000000"/>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规格</w:t>
            </w:r>
            <w:r>
              <w:rPr>
                <w:bCs/>
                <w:color w:val="000000"/>
                <w:kern w:val="0"/>
                <w:sz w:val="24"/>
                <w:szCs w:val="24"/>
              </w:rPr>
              <w:t>(</w:t>
            </w:r>
            <w:r>
              <w:rPr>
                <w:rFonts w:hint="eastAsia"/>
                <w:bCs/>
                <w:color w:val="000000"/>
                <w:kern w:val="0"/>
                <w:sz w:val="24"/>
                <w:szCs w:val="24"/>
              </w:rPr>
              <w:t>米径</w:t>
            </w:r>
            <w:r>
              <w:rPr>
                <w:bCs/>
                <w:color w:val="000000"/>
                <w:kern w:val="0"/>
                <w:sz w:val="24"/>
                <w:szCs w:val="24"/>
              </w:rPr>
              <w:t>cm)</w:t>
            </w:r>
          </w:p>
        </w:tc>
        <w:tc>
          <w:tcPr>
            <w:tcW w:w="85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单价</w:t>
            </w:r>
            <w:r>
              <w:rPr>
                <w:bCs/>
                <w:color w:val="000000"/>
                <w:kern w:val="0"/>
                <w:sz w:val="24"/>
                <w:szCs w:val="24"/>
              </w:rPr>
              <w:t>(</w:t>
            </w:r>
            <w:r>
              <w:rPr>
                <w:rFonts w:hint="eastAsia"/>
                <w:bCs/>
                <w:color w:val="000000"/>
                <w:kern w:val="0"/>
                <w:sz w:val="24"/>
                <w:szCs w:val="24"/>
              </w:rPr>
              <w:t>元</w:t>
            </w:r>
            <w:r>
              <w:rPr>
                <w:bCs/>
                <w:color w:val="000000"/>
                <w:kern w:val="0"/>
                <w:sz w:val="24"/>
                <w:szCs w:val="24"/>
              </w:rPr>
              <w:t>)</w:t>
            </w:r>
          </w:p>
        </w:tc>
        <w:tc>
          <w:tcPr>
            <w:tcW w:w="169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小径材</w:t>
            </w:r>
            <w:r>
              <w:rPr>
                <w:bCs/>
                <w:color w:val="000000"/>
                <w:kern w:val="0"/>
                <w:sz w:val="24"/>
                <w:szCs w:val="24"/>
              </w:rPr>
              <w:t>(14cm-18cm)</w:t>
            </w:r>
          </w:p>
        </w:tc>
        <w:tc>
          <w:tcPr>
            <w:tcW w:w="18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中径材</w:t>
            </w:r>
            <w:r>
              <w:rPr>
                <w:bCs/>
                <w:color w:val="000000"/>
                <w:kern w:val="0"/>
                <w:sz w:val="24"/>
                <w:szCs w:val="24"/>
              </w:rPr>
              <w:t>(20cm-24cm)</w:t>
            </w:r>
          </w:p>
        </w:tc>
        <w:tc>
          <w:tcPr>
            <w:tcW w:w="1377"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大径材</w:t>
            </w:r>
            <w:r>
              <w:rPr>
                <w:bCs/>
                <w:color w:val="000000"/>
                <w:kern w:val="0"/>
                <w:sz w:val="24"/>
                <w:szCs w:val="24"/>
              </w:rPr>
              <w:t xml:space="preserve">   (</w:t>
            </w:r>
            <w:r>
              <w:rPr>
                <w:rFonts w:hint="eastAsia"/>
                <w:bCs/>
                <w:color w:val="000000"/>
                <w:kern w:val="0"/>
                <w:sz w:val="24"/>
                <w:szCs w:val="24"/>
              </w:rPr>
              <w:t>＞</w:t>
            </w:r>
            <w:r>
              <w:rPr>
                <w:bCs/>
                <w:color w:val="000000"/>
                <w:kern w:val="0"/>
                <w:sz w:val="24"/>
                <w:szCs w:val="24"/>
              </w:rPr>
              <w:t>26cm)</w:t>
            </w:r>
          </w:p>
        </w:tc>
      </w:tr>
      <w:tr>
        <w:tblPrEx>
          <w:tblLayout w:type="fixed"/>
          <w:tblCellMar>
            <w:top w:w="0" w:type="dxa"/>
            <w:left w:w="108" w:type="dxa"/>
            <w:bottom w:w="0" w:type="dxa"/>
            <w:right w:w="108" w:type="dxa"/>
          </w:tblCellMar>
        </w:tblPrEx>
        <w:trPr>
          <w:trHeight w:val="31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w:t>
            </w:r>
          </w:p>
        </w:tc>
        <w:tc>
          <w:tcPr>
            <w:tcW w:w="101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柳树</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w:t>
            </w:r>
          </w:p>
        </w:tc>
        <w:tc>
          <w:tcPr>
            <w:tcW w:w="85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w:t>
            </w:r>
          </w:p>
        </w:tc>
        <w:tc>
          <w:tcPr>
            <w:tcW w:w="169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650</w:t>
            </w:r>
          </w:p>
        </w:tc>
        <w:tc>
          <w:tcPr>
            <w:tcW w:w="18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1050</w:t>
            </w:r>
          </w:p>
        </w:tc>
        <w:tc>
          <w:tcPr>
            <w:tcW w:w="1377"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2100</w:t>
            </w:r>
          </w:p>
        </w:tc>
      </w:tr>
      <w:tr>
        <w:tblPrEx>
          <w:tblLayout w:type="fixed"/>
          <w:tblCellMar>
            <w:top w:w="0" w:type="dxa"/>
            <w:left w:w="108" w:type="dxa"/>
            <w:bottom w:w="0" w:type="dxa"/>
            <w:right w:w="108" w:type="dxa"/>
          </w:tblCellMar>
        </w:tblPrEx>
        <w:trPr>
          <w:trHeight w:val="31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w:t>
            </w:r>
          </w:p>
        </w:tc>
        <w:tc>
          <w:tcPr>
            <w:tcW w:w="101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银杏</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w:t>
            </w:r>
          </w:p>
        </w:tc>
        <w:tc>
          <w:tcPr>
            <w:tcW w:w="85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69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750</w:t>
            </w:r>
          </w:p>
        </w:tc>
        <w:tc>
          <w:tcPr>
            <w:tcW w:w="18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1200</w:t>
            </w:r>
          </w:p>
        </w:tc>
        <w:tc>
          <w:tcPr>
            <w:tcW w:w="1377"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3</w:t>
            </w:r>
          </w:p>
        </w:tc>
        <w:tc>
          <w:tcPr>
            <w:tcW w:w="101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白蜡</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w:t>
            </w:r>
          </w:p>
        </w:tc>
        <w:tc>
          <w:tcPr>
            <w:tcW w:w="85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69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800</w:t>
            </w:r>
          </w:p>
        </w:tc>
        <w:tc>
          <w:tcPr>
            <w:tcW w:w="18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1200</w:t>
            </w:r>
          </w:p>
        </w:tc>
        <w:tc>
          <w:tcPr>
            <w:tcW w:w="1377"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2600</w:t>
            </w:r>
          </w:p>
        </w:tc>
      </w:tr>
      <w:tr>
        <w:tblPrEx>
          <w:tblLayout w:type="fixed"/>
          <w:tblCellMar>
            <w:top w:w="0" w:type="dxa"/>
            <w:left w:w="108" w:type="dxa"/>
            <w:bottom w:w="0" w:type="dxa"/>
            <w:right w:w="108" w:type="dxa"/>
          </w:tblCellMar>
        </w:tblPrEx>
        <w:trPr>
          <w:trHeight w:val="31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4</w:t>
            </w:r>
          </w:p>
        </w:tc>
        <w:tc>
          <w:tcPr>
            <w:tcW w:w="101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楸树</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14</w:t>
            </w:r>
          </w:p>
        </w:tc>
        <w:tc>
          <w:tcPr>
            <w:tcW w:w="85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69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600</w:t>
            </w:r>
          </w:p>
        </w:tc>
        <w:tc>
          <w:tcPr>
            <w:tcW w:w="18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1000</w:t>
            </w:r>
          </w:p>
        </w:tc>
        <w:tc>
          <w:tcPr>
            <w:tcW w:w="1377"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5</w:t>
            </w:r>
          </w:p>
        </w:tc>
        <w:tc>
          <w:tcPr>
            <w:tcW w:w="101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五角枫</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85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69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650</w:t>
            </w:r>
          </w:p>
        </w:tc>
        <w:tc>
          <w:tcPr>
            <w:tcW w:w="18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1500</w:t>
            </w:r>
          </w:p>
        </w:tc>
        <w:tc>
          <w:tcPr>
            <w:tcW w:w="1377"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2400</w:t>
            </w:r>
          </w:p>
        </w:tc>
      </w:tr>
      <w:tr>
        <w:tblPrEx>
          <w:tblLayout w:type="fixed"/>
          <w:tblCellMar>
            <w:top w:w="0" w:type="dxa"/>
            <w:left w:w="108" w:type="dxa"/>
            <w:bottom w:w="0" w:type="dxa"/>
            <w:right w:w="108" w:type="dxa"/>
          </w:tblCellMar>
        </w:tblPrEx>
        <w:trPr>
          <w:trHeight w:val="31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w:t>
            </w:r>
          </w:p>
        </w:tc>
        <w:tc>
          <w:tcPr>
            <w:tcW w:w="101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元宝枫</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85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69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650</w:t>
            </w:r>
          </w:p>
        </w:tc>
        <w:tc>
          <w:tcPr>
            <w:tcW w:w="18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1500</w:t>
            </w:r>
          </w:p>
        </w:tc>
        <w:tc>
          <w:tcPr>
            <w:tcW w:w="1377"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7</w:t>
            </w:r>
          </w:p>
        </w:tc>
        <w:tc>
          <w:tcPr>
            <w:tcW w:w="101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香椿</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85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w:t>
            </w:r>
          </w:p>
        </w:tc>
        <w:tc>
          <w:tcPr>
            <w:tcW w:w="169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600</w:t>
            </w:r>
          </w:p>
        </w:tc>
        <w:tc>
          <w:tcPr>
            <w:tcW w:w="18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1200</w:t>
            </w:r>
          </w:p>
        </w:tc>
        <w:tc>
          <w:tcPr>
            <w:tcW w:w="1377"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2600</w:t>
            </w:r>
          </w:p>
        </w:tc>
      </w:tr>
      <w:tr>
        <w:tblPrEx>
          <w:tblLayout w:type="fixed"/>
          <w:tblCellMar>
            <w:top w:w="0" w:type="dxa"/>
            <w:left w:w="108" w:type="dxa"/>
            <w:bottom w:w="0" w:type="dxa"/>
            <w:right w:w="108" w:type="dxa"/>
          </w:tblCellMar>
        </w:tblPrEx>
        <w:trPr>
          <w:trHeight w:val="31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8</w:t>
            </w:r>
          </w:p>
        </w:tc>
        <w:tc>
          <w:tcPr>
            <w:tcW w:w="101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楝树</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85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w:t>
            </w:r>
          </w:p>
        </w:tc>
        <w:tc>
          <w:tcPr>
            <w:tcW w:w="169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600</w:t>
            </w:r>
          </w:p>
        </w:tc>
        <w:tc>
          <w:tcPr>
            <w:tcW w:w="18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1200</w:t>
            </w:r>
          </w:p>
        </w:tc>
        <w:tc>
          <w:tcPr>
            <w:tcW w:w="1377"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9</w:t>
            </w:r>
          </w:p>
        </w:tc>
        <w:tc>
          <w:tcPr>
            <w:tcW w:w="1010"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枫杨</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w:t>
            </w:r>
          </w:p>
        </w:tc>
        <w:tc>
          <w:tcPr>
            <w:tcW w:w="85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w:t>
            </w:r>
          </w:p>
        </w:tc>
        <w:tc>
          <w:tcPr>
            <w:tcW w:w="169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550</w:t>
            </w:r>
          </w:p>
        </w:tc>
        <w:tc>
          <w:tcPr>
            <w:tcW w:w="180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1000</w:t>
            </w:r>
          </w:p>
        </w:tc>
        <w:tc>
          <w:tcPr>
            <w:tcW w:w="1377"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2200</w:t>
            </w:r>
          </w:p>
        </w:tc>
      </w:tr>
    </w:tbl>
    <w:p>
      <w:pPr>
        <w:widowControl/>
        <w:tabs>
          <w:tab w:val="clear" w:pos="3261"/>
          <w:tab w:val="clear" w:pos="4536"/>
        </w:tabs>
        <w:adjustRightInd w:val="0"/>
        <w:snapToGrid w:val="0"/>
        <w:spacing w:line="360" w:lineRule="auto"/>
        <w:ind w:firstLine="560" w:firstLineChars="200"/>
        <w:rPr>
          <w:bCs/>
          <w:color w:val="000000"/>
        </w:rPr>
      </w:pPr>
    </w:p>
    <w:p>
      <w:pPr>
        <w:widowControl/>
        <w:tabs>
          <w:tab w:val="clear" w:pos="3261"/>
          <w:tab w:val="clear" w:pos="4536"/>
        </w:tabs>
        <w:adjustRightInd w:val="0"/>
        <w:snapToGrid w:val="0"/>
        <w:spacing w:line="360" w:lineRule="auto"/>
        <w:ind w:firstLine="560" w:firstLineChars="200"/>
        <w:rPr>
          <w:bCs/>
          <w:color w:val="000000"/>
        </w:rPr>
      </w:pPr>
      <w:r>
        <w:rPr>
          <w:bCs/>
          <w:color w:val="000000"/>
        </w:rPr>
        <w:t>枝桠材：按主伐材蓄积量20%计算，并按70%回收，枝桠材300元／吨。</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林果产品：经济林主要树种为石榴、樱桃等。</w:t>
      </w:r>
      <w:r>
        <w:rPr>
          <w:bCs/>
          <w:color w:val="000000"/>
        </w:rPr>
        <w:t>4－6年为初产期，第7年进入盛果期。</w:t>
      </w:r>
      <w:r>
        <w:rPr>
          <w:rFonts w:hint="eastAsia"/>
          <w:bCs/>
          <w:color w:val="000000"/>
        </w:rPr>
        <w:t>结合市场单价并考虑采摘、销售费用等综合因素，测算设定石榴</w:t>
      </w:r>
      <w:r>
        <w:rPr>
          <w:bCs/>
          <w:color w:val="000000"/>
        </w:rPr>
        <w:t>3元/公斤，</w:t>
      </w:r>
      <w:r>
        <w:rPr>
          <w:rFonts w:hint="eastAsia"/>
          <w:bCs/>
          <w:color w:val="000000"/>
        </w:rPr>
        <w:t>樱桃</w:t>
      </w:r>
      <w:r>
        <w:rPr>
          <w:bCs/>
          <w:color w:val="000000"/>
        </w:rPr>
        <w:t>4元/公斤</w:t>
      </w:r>
      <w:r>
        <w:rPr>
          <w:rFonts w:hint="eastAsia"/>
          <w:bCs/>
          <w:color w:val="000000"/>
        </w:rPr>
        <w:t>。</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销售总收入：项目收入由各年间木材及苗木、林果产品销售收入构成，经估算，运营期总收入为</w:t>
      </w:r>
      <w:r>
        <w:rPr>
          <w:bCs/>
          <w:color w:val="000000"/>
        </w:rPr>
        <w:t>24525.10万元。</w:t>
      </w:r>
    </w:p>
    <w:p>
      <w:pPr>
        <w:widowControl/>
        <w:tabs>
          <w:tab w:val="clear" w:pos="3261"/>
          <w:tab w:val="clear" w:pos="4536"/>
        </w:tabs>
        <w:adjustRightInd w:val="0"/>
        <w:snapToGrid w:val="0"/>
        <w:spacing w:line="360" w:lineRule="auto"/>
        <w:ind w:firstLine="562" w:firstLineChars="200"/>
        <w:rPr>
          <w:b/>
          <w:bCs/>
          <w:color w:val="000000"/>
        </w:rPr>
      </w:pPr>
      <w:r>
        <w:rPr>
          <w:rFonts w:hint="eastAsia"/>
          <w:b/>
          <w:bCs/>
          <w:color w:val="000000"/>
        </w:rPr>
        <w:t>3）城乡一体化示范区、高新区</w:t>
      </w:r>
    </w:p>
    <w:p>
      <w:pPr>
        <w:widowControl/>
        <w:tabs>
          <w:tab w:val="clear" w:pos="3261"/>
          <w:tab w:val="clear" w:pos="4536"/>
        </w:tabs>
        <w:adjustRightInd w:val="0"/>
        <w:snapToGrid w:val="0"/>
        <w:spacing w:line="360" w:lineRule="auto"/>
        <w:ind w:firstLine="560" w:firstLineChars="200"/>
        <w:rPr>
          <w:bCs/>
          <w:color w:val="000000"/>
        </w:rPr>
      </w:pPr>
      <w:r>
        <w:rPr>
          <w:rFonts w:hint="eastAsia" w:cs="宋体"/>
          <w:bCs/>
          <w:color w:val="000000"/>
        </w:rPr>
        <w:t>①</w:t>
      </w:r>
      <w:r>
        <w:rPr>
          <w:bCs/>
          <w:color w:val="000000"/>
        </w:rPr>
        <w:t>出材量：根据一个轮伐期间计算，只有柳树和枫杨达到一个轮伐期，进行主伐，其余树种轮伐期均大于25年，按立木折算期末保留林分材积。项目</w:t>
      </w:r>
      <w:r>
        <w:rPr>
          <w:rFonts w:hint="eastAsia"/>
          <w:bCs/>
          <w:color w:val="000000"/>
        </w:rPr>
        <w:t>合作</w:t>
      </w:r>
      <w:r>
        <w:rPr>
          <w:bCs/>
          <w:color w:val="000000"/>
        </w:rPr>
        <w:t>期内预计出售木材0.92万立方米，枝桠材0.26万吨；25年时，预测期末林分保留价值，可生产立木材积74.91万立方米，枝桠材24.97万吨。</w:t>
      </w:r>
    </w:p>
    <w:p>
      <w:pPr>
        <w:widowControl/>
        <w:tabs>
          <w:tab w:val="clear" w:pos="3261"/>
          <w:tab w:val="clear" w:pos="4536"/>
        </w:tabs>
        <w:adjustRightInd w:val="0"/>
        <w:snapToGrid w:val="0"/>
        <w:spacing w:line="360" w:lineRule="auto"/>
        <w:ind w:firstLine="560" w:firstLineChars="200"/>
        <w:rPr>
          <w:bCs/>
          <w:color w:val="000000"/>
        </w:rPr>
      </w:pPr>
      <w:r>
        <w:rPr>
          <w:rFonts w:hint="eastAsia" w:cs="宋体"/>
          <w:bCs/>
          <w:color w:val="000000"/>
        </w:rPr>
        <w:t>②</w:t>
      </w:r>
      <w:r>
        <w:rPr>
          <w:bCs/>
          <w:color w:val="000000"/>
        </w:rPr>
        <w:t>绿化苗木（整株）：</w:t>
      </w:r>
      <w:r>
        <w:rPr>
          <w:rFonts w:hint="eastAsia"/>
          <w:bCs/>
          <w:color w:val="000000"/>
        </w:rPr>
        <w:t>运营</w:t>
      </w:r>
      <w:r>
        <w:rPr>
          <w:bCs/>
          <w:color w:val="000000"/>
        </w:rPr>
        <w:t>期内共出售各类树种绿化苗木622.10万株。</w:t>
      </w:r>
    </w:p>
    <w:p>
      <w:pPr>
        <w:widowControl/>
        <w:tabs>
          <w:tab w:val="clear" w:pos="3261"/>
          <w:tab w:val="clear" w:pos="4536"/>
        </w:tabs>
        <w:adjustRightInd w:val="0"/>
        <w:snapToGrid w:val="0"/>
        <w:spacing w:line="360" w:lineRule="auto"/>
        <w:ind w:firstLine="560" w:firstLineChars="200"/>
        <w:rPr>
          <w:bCs/>
          <w:color w:val="000000"/>
        </w:rPr>
      </w:pPr>
      <w:r>
        <w:rPr>
          <w:rFonts w:hint="eastAsia" w:cs="宋体"/>
          <w:bCs/>
          <w:color w:val="000000"/>
        </w:rPr>
        <w:t>③</w:t>
      </w:r>
      <w:r>
        <w:rPr>
          <w:bCs/>
          <w:color w:val="000000"/>
        </w:rPr>
        <w:t>总收入估算</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在分析研究</w:t>
      </w:r>
      <w:r>
        <w:rPr>
          <w:bCs/>
          <w:color w:val="000000"/>
        </w:rPr>
        <w:t>2007－2016年价格行情的基础上，选取木材及绿化苗木的供给量、综合平均价格为研究对象，分析木材和绿化苗木供给增长率、价格变化率，并采用价格变化弹性系数法，预测市场价格变化趋势。</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主材产品计算：所选造林树种按大径阶用材树种和大径阶珍稀树种分开计算，大径材用材树种柳树、枫杨</w:t>
      </w:r>
      <w:r>
        <w:rPr>
          <w:bCs/>
          <w:color w:val="000000"/>
        </w:rPr>
        <w:t>25年达到主伐龄级，其它珍稀树种五角枫、元宝枫、楸树、银杏、白蜡、香樟、榉树、香椿等按25年木材价格折算期末林分保留价值。</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主材副产品：珍稀树种间伐期以整株出售，根据</w:t>
      </w:r>
      <w:r>
        <w:rPr>
          <w:bCs/>
          <w:color w:val="000000"/>
        </w:rPr>
        <w:t>2010～2016年珍稀树种绿化苗木的市场平均价格估算。</w:t>
      </w:r>
      <w:r>
        <w:rPr>
          <w:rFonts w:hint="eastAsia"/>
          <w:bCs/>
          <w:color w:val="000000"/>
        </w:rPr>
        <w:t>根据项目情况，结合市场单价并考虑采摘、销售费用等综合因素，测算木材平均价格如表3.5所示：</w:t>
      </w:r>
      <w:r>
        <w:rPr>
          <w:bCs/>
          <w:color w:val="000000"/>
        </w:rPr>
        <w:t xml:space="preserve"> </w:t>
      </w:r>
    </w:p>
    <w:p>
      <w:pPr>
        <w:widowControl/>
        <w:tabs>
          <w:tab w:val="clear" w:pos="3261"/>
          <w:tab w:val="clear" w:pos="4536"/>
        </w:tabs>
        <w:adjustRightInd w:val="0"/>
        <w:snapToGrid w:val="0"/>
        <w:spacing w:line="360" w:lineRule="auto"/>
        <w:ind w:firstLine="560" w:firstLineChars="200"/>
        <w:jc w:val="center"/>
        <w:rPr>
          <w:bCs/>
          <w:color w:val="000000"/>
        </w:rPr>
      </w:pPr>
      <w:r>
        <w:rPr>
          <w:rFonts w:hint="eastAsia"/>
          <w:bCs/>
          <w:color w:val="000000"/>
        </w:rPr>
        <w:t>表3.5</w:t>
      </w:r>
      <w:r>
        <w:rPr>
          <w:bCs/>
          <w:color w:val="000000"/>
        </w:rPr>
        <w:t xml:space="preserve"> </w:t>
      </w:r>
      <w:r>
        <w:rPr>
          <w:rFonts w:hint="eastAsia"/>
          <w:bCs/>
          <w:color w:val="000000"/>
        </w:rPr>
        <w:t>项目产品市场价格预测</w:t>
      </w:r>
    </w:p>
    <w:p>
      <w:pPr>
        <w:widowControl/>
        <w:tabs>
          <w:tab w:val="clear" w:pos="3261"/>
          <w:tab w:val="clear" w:pos="4536"/>
        </w:tabs>
        <w:adjustRightInd w:val="0"/>
        <w:snapToGrid w:val="0"/>
        <w:ind w:firstLine="0" w:firstLineChars="0"/>
        <w:jc w:val="right"/>
        <w:rPr>
          <w:bCs/>
          <w:color w:val="000000"/>
          <w:sz w:val="24"/>
        </w:rPr>
      </w:pPr>
      <w:r>
        <w:rPr>
          <w:rFonts w:hint="eastAsia"/>
          <w:bCs/>
          <w:color w:val="000000"/>
          <w:sz w:val="24"/>
        </w:rPr>
        <w:t>单位：厘米、元、元</w:t>
      </w:r>
      <w:r>
        <w:rPr>
          <w:bCs/>
          <w:color w:val="000000"/>
          <w:sz w:val="24"/>
        </w:rPr>
        <w:t>/</w:t>
      </w:r>
      <w:r>
        <w:rPr>
          <w:rFonts w:hint="eastAsia"/>
          <w:bCs/>
          <w:color w:val="000000"/>
          <w:sz w:val="24"/>
        </w:rPr>
        <w:t>立方米</w:t>
      </w:r>
    </w:p>
    <w:tbl>
      <w:tblPr>
        <w:tblStyle w:val="44"/>
        <w:tblW w:w="8420" w:type="dxa"/>
        <w:tblInd w:w="108" w:type="dxa"/>
        <w:tblLayout w:type="fixed"/>
        <w:tblCellMar>
          <w:top w:w="0" w:type="dxa"/>
          <w:left w:w="108" w:type="dxa"/>
          <w:bottom w:w="0" w:type="dxa"/>
          <w:right w:w="108" w:type="dxa"/>
        </w:tblCellMar>
      </w:tblPr>
      <w:tblGrid>
        <w:gridCol w:w="511"/>
        <w:gridCol w:w="1055"/>
        <w:gridCol w:w="1134"/>
        <w:gridCol w:w="818"/>
        <w:gridCol w:w="1843"/>
        <w:gridCol w:w="1875"/>
        <w:gridCol w:w="1184"/>
      </w:tblGrid>
      <w:tr>
        <w:tblPrEx>
          <w:tblLayout w:type="fixed"/>
          <w:tblCellMar>
            <w:top w:w="0" w:type="dxa"/>
            <w:left w:w="108" w:type="dxa"/>
            <w:bottom w:w="0" w:type="dxa"/>
            <w:right w:w="108" w:type="dxa"/>
          </w:tblCellMar>
        </w:tblPrEx>
        <w:trPr>
          <w:trHeight w:val="602" w:hRule="atLeast"/>
          <w:tblHeader/>
        </w:trPr>
        <w:tc>
          <w:tcPr>
            <w:tcW w:w="51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序号</w:t>
            </w:r>
          </w:p>
        </w:tc>
        <w:tc>
          <w:tcPr>
            <w:tcW w:w="105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项目</w:t>
            </w:r>
          </w:p>
        </w:tc>
        <w:tc>
          <w:tcPr>
            <w:tcW w:w="1952" w:type="dxa"/>
            <w:gridSpan w:val="2"/>
            <w:tcBorders>
              <w:top w:val="single" w:color="auto" w:sz="4" w:space="0"/>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绿化苗木</w:t>
            </w:r>
          </w:p>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规格及价格</w:t>
            </w:r>
          </w:p>
        </w:tc>
        <w:tc>
          <w:tcPr>
            <w:tcW w:w="4902" w:type="dxa"/>
            <w:gridSpan w:val="3"/>
            <w:tcBorders>
              <w:top w:val="single" w:color="auto" w:sz="4" w:space="0"/>
              <w:left w:val="nil"/>
              <w:bottom w:val="single" w:color="auto" w:sz="4" w:space="0"/>
              <w:right w:val="single" w:color="000000"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木材规格及价格</w:t>
            </w:r>
          </w:p>
        </w:tc>
      </w:tr>
      <w:tr>
        <w:tblPrEx>
          <w:tblLayout w:type="fixed"/>
          <w:tblCellMar>
            <w:top w:w="0" w:type="dxa"/>
            <w:left w:w="108" w:type="dxa"/>
            <w:bottom w:w="0" w:type="dxa"/>
            <w:right w:w="108" w:type="dxa"/>
          </w:tblCellMar>
        </w:tblPrEx>
        <w:trPr>
          <w:trHeight w:val="554" w:hRule="atLeast"/>
          <w:tblHeader/>
        </w:trPr>
        <w:tc>
          <w:tcPr>
            <w:tcW w:w="511" w:type="dxa"/>
            <w:vMerge w:val="continue"/>
            <w:tcBorders>
              <w:top w:val="single" w:color="auto" w:sz="4" w:space="0"/>
              <w:left w:val="single" w:color="auto" w:sz="4" w:space="0"/>
              <w:bottom w:val="single" w:color="000000" w:sz="4" w:space="0"/>
              <w:right w:val="single" w:color="auto" w:sz="4" w:space="0"/>
            </w:tcBorders>
            <w:vAlign w:val="center"/>
          </w:tcPr>
          <w:p>
            <w:pPr>
              <w:widowControl/>
              <w:tabs>
                <w:tab w:val="clear" w:pos="3261"/>
                <w:tab w:val="clear" w:pos="4536"/>
              </w:tabs>
              <w:adjustRightInd w:val="0"/>
              <w:snapToGrid w:val="0"/>
              <w:ind w:firstLine="0" w:firstLineChars="0"/>
              <w:jc w:val="left"/>
              <w:rPr>
                <w:color w:val="000000"/>
                <w:kern w:val="0"/>
                <w:sz w:val="24"/>
                <w:szCs w:val="24"/>
              </w:rPr>
            </w:pPr>
          </w:p>
        </w:tc>
        <w:tc>
          <w:tcPr>
            <w:tcW w:w="1055" w:type="dxa"/>
            <w:vMerge w:val="continue"/>
            <w:tcBorders>
              <w:top w:val="single" w:color="auto" w:sz="4" w:space="0"/>
              <w:left w:val="single" w:color="auto" w:sz="4" w:space="0"/>
              <w:bottom w:val="single" w:color="000000" w:sz="4" w:space="0"/>
              <w:right w:val="single" w:color="auto" w:sz="4" w:space="0"/>
            </w:tcBorders>
            <w:vAlign w:val="center"/>
          </w:tcPr>
          <w:p>
            <w:pPr>
              <w:widowControl/>
              <w:tabs>
                <w:tab w:val="clear" w:pos="3261"/>
                <w:tab w:val="clear" w:pos="4536"/>
              </w:tabs>
              <w:adjustRightInd w:val="0"/>
              <w:snapToGrid w:val="0"/>
              <w:ind w:firstLine="0" w:firstLineChars="0"/>
              <w:jc w:val="left"/>
              <w:rPr>
                <w:color w:val="000000"/>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规格（米径</w:t>
            </w:r>
            <w:r>
              <w:rPr>
                <w:color w:val="000000"/>
                <w:kern w:val="0"/>
                <w:sz w:val="24"/>
                <w:szCs w:val="24"/>
              </w:rPr>
              <w:t>cm</w:t>
            </w:r>
            <w:r>
              <w:rPr>
                <w:rFonts w:hint="eastAsia"/>
                <w:color w:val="000000"/>
                <w:kern w:val="0"/>
                <w:sz w:val="24"/>
                <w:szCs w:val="24"/>
              </w:rPr>
              <w:t>）</w:t>
            </w:r>
          </w:p>
        </w:tc>
        <w:tc>
          <w:tcPr>
            <w:tcW w:w="818"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单价</w:t>
            </w:r>
            <w:r>
              <w:rPr>
                <w:color w:val="000000"/>
                <w:kern w:val="0"/>
                <w:sz w:val="24"/>
                <w:szCs w:val="24"/>
              </w:rPr>
              <w:t>(</w:t>
            </w:r>
            <w:r>
              <w:rPr>
                <w:rFonts w:hint="eastAsia"/>
                <w:color w:val="000000"/>
                <w:kern w:val="0"/>
                <w:sz w:val="24"/>
                <w:szCs w:val="24"/>
              </w:rPr>
              <w:t>元</w:t>
            </w:r>
            <w:r>
              <w:rPr>
                <w:color w:val="000000"/>
                <w:kern w:val="0"/>
                <w:sz w:val="24"/>
                <w:szCs w:val="24"/>
              </w:rPr>
              <w:t>)</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小径材（</w:t>
            </w:r>
            <w:r>
              <w:rPr>
                <w:color w:val="000000"/>
                <w:kern w:val="0"/>
                <w:sz w:val="24"/>
                <w:szCs w:val="24"/>
              </w:rPr>
              <w:t>14cm-18cm</w:t>
            </w:r>
            <w:r>
              <w:rPr>
                <w:rFonts w:hint="eastAsia"/>
                <w:color w:val="000000"/>
                <w:kern w:val="0"/>
                <w:sz w:val="24"/>
                <w:szCs w:val="24"/>
              </w:rPr>
              <w:t>）</w:t>
            </w:r>
          </w:p>
        </w:tc>
        <w:tc>
          <w:tcPr>
            <w:tcW w:w="187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中径材（</w:t>
            </w:r>
            <w:r>
              <w:rPr>
                <w:color w:val="000000"/>
                <w:kern w:val="0"/>
                <w:sz w:val="24"/>
                <w:szCs w:val="24"/>
              </w:rPr>
              <w:t>20cm-24cm</w:t>
            </w:r>
            <w:r>
              <w:rPr>
                <w:rFonts w:hint="eastAsia"/>
                <w:color w:val="000000"/>
                <w:kern w:val="0"/>
                <w:sz w:val="24"/>
                <w:szCs w:val="24"/>
              </w:rPr>
              <w:t>）</w:t>
            </w:r>
          </w:p>
        </w:tc>
        <w:tc>
          <w:tcPr>
            <w:tcW w:w="1184" w:type="dxa"/>
            <w:tcBorders>
              <w:top w:val="nil"/>
              <w:left w:val="nil"/>
              <w:bottom w:val="nil"/>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大径材</w:t>
            </w:r>
            <w:r>
              <w:rPr>
                <w:color w:val="000000"/>
                <w:kern w:val="0"/>
                <w:sz w:val="24"/>
                <w:szCs w:val="24"/>
              </w:rPr>
              <w:t xml:space="preserve"> (</w:t>
            </w:r>
            <w:r>
              <w:rPr>
                <w:rFonts w:hint="eastAsia"/>
                <w:color w:val="000000"/>
                <w:kern w:val="0"/>
                <w:sz w:val="24"/>
                <w:szCs w:val="24"/>
              </w:rPr>
              <w:t>＞</w:t>
            </w:r>
            <w:r>
              <w:rPr>
                <w:color w:val="000000"/>
                <w:kern w:val="0"/>
                <w:sz w:val="24"/>
                <w:szCs w:val="24"/>
              </w:rPr>
              <w:t xml:space="preserve">26cm)  </w:t>
            </w:r>
          </w:p>
        </w:tc>
      </w:tr>
      <w:tr>
        <w:tblPrEx>
          <w:tblLayout w:type="fixed"/>
          <w:tblCellMar>
            <w:top w:w="0" w:type="dxa"/>
            <w:left w:w="108" w:type="dxa"/>
            <w:bottom w:w="0" w:type="dxa"/>
            <w:right w:w="108" w:type="dxa"/>
          </w:tblCellMar>
        </w:tblPrEx>
        <w:trPr>
          <w:trHeight w:val="315" w:hRule="atLeast"/>
        </w:trPr>
        <w:tc>
          <w:tcPr>
            <w:tcW w:w="511"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w:t>
            </w:r>
          </w:p>
        </w:tc>
        <w:tc>
          <w:tcPr>
            <w:tcW w:w="105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柳树</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w:t>
            </w:r>
          </w:p>
        </w:tc>
        <w:tc>
          <w:tcPr>
            <w:tcW w:w="818"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650</w:t>
            </w:r>
          </w:p>
        </w:tc>
        <w:tc>
          <w:tcPr>
            <w:tcW w:w="187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1050</w:t>
            </w:r>
          </w:p>
        </w:tc>
        <w:tc>
          <w:tcPr>
            <w:tcW w:w="1184" w:type="dxa"/>
            <w:tcBorders>
              <w:top w:val="single" w:color="auto" w:sz="4" w:space="0"/>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2100</w:t>
            </w:r>
          </w:p>
        </w:tc>
      </w:tr>
      <w:tr>
        <w:tblPrEx>
          <w:tblLayout w:type="fixed"/>
          <w:tblCellMar>
            <w:top w:w="0" w:type="dxa"/>
            <w:left w:w="108" w:type="dxa"/>
            <w:bottom w:w="0" w:type="dxa"/>
            <w:right w:w="108" w:type="dxa"/>
          </w:tblCellMar>
        </w:tblPrEx>
        <w:trPr>
          <w:trHeight w:val="315" w:hRule="atLeast"/>
        </w:trPr>
        <w:tc>
          <w:tcPr>
            <w:tcW w:w="511"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w:t>
            </w:r>
          </w:p>
        </w:tc>
        <w:tc>
          <w:tcPr>
            <w:tcW w:w="105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银杏</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w:t>
            </w:r>
          </w:p>
        </w:tc>
        <w:tc>
          <w:tcPr>
            <w:tcW w:w="818"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750</w:t>
            </w:r>
          </w:p>
        </w:tc>
        <w:tc>
          <w:tcPr>
            <w:tcW w:w="187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511"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3</w:t>
            </w:r>
          </w:p>
        </w:tc>
        <w:tc>
          <w:tcPr>
            <w:tcW w:w="105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白蜡</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w:t>
            </w:r>
          </w:p>
        </w:tc>
        <w:tc>
          <w:tcPr>
            <w:tcW w:w="818"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800</w:t>
            </w:r>
          </w:p>
        </w:tc>
        <w:tc>
          <w:tcPr>
            <w:tcW w:w="187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2600</w:t>
            </w:r>
          </w:p>
        </w:tc>
      </w:tr>
      <w:tr>
        <w:tblPrEx>
          <w:tblLayout w:type="fixed"/>
          <w:tblCellMar>
            <w:top w:w="0" w:type="dxa"/>
            <w:left w:w="108" w:type="dxa"/>
            <w:bottom w:w="0" w:type="dxa"/>
            <w:right w:w="108" w:type="dxa"/>
          </w:tblCellMar>
        </w:tblPrEx>
        <w:trPr>
          <w:trHeight w:val="315" w:hRule="atLeast"/>
        </w:trPr>
        <w:tc>
          <w:tcPr>
            <w:tcW w:w="511"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4</w:t>
            </w:r>
          </w:p>
        </w:tc>
        <w:tc>
          <w:tcPr>
            <w:tcW w:w="105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楸树</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14</w:t>
            </w:r>
          </w:p>
        </w:tc>
        <w:tc>
          <w:tcPr>
            <w:tcW w:w="818"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600</w:t>
            </w:r>
          </w:p>
        </w:tc>
        <w:tc>
          <w:tcPr>
            <w:tcW w:w="187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511"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5</w:t>
            </w:r>
          </w:p>
        </w:tc>
        <w:tc>
          <w:tcPr>
            <w:tcW w:w="105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香樟</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818"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800</w:t>
            </w:r>
          </w:p>
        </w:tc>
        <w:tc>
          <w:tcPr>
            <w:tcW w:w="187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1400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3000</w:t>
            </w:r>
          </w:p>
        </w:tc>
      </w:tr>
      <w:tr>
        <w:tblPrEx>
          <w:tblLayout w:type="fixed"/>
          <w:tblCellMar>
            <w:top w:w="0" w:type="dxa"/>
            <w:left w:w="108" w:type="dxa"/>
            <w:bottom w:w="0" w:type="dxa"/>
            <w:right w:w="108" w:type="dxa"/>
          </w:tblCellMar>
        </w:tblPrEx>
        <w:trPr>
          <w:trHeight w:val="315" w:hRule="atLeast"/>
        </w:trPr>
        <w:tc>
          <w:tcPr>
            <w:tcW w:w="511"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w:t>
            </w:r>
          </w:p>
        </w:tc>
        <w:tc>
          <w:tcPr>
            <w:tcW w:w="105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五角枫</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818"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650</w:t>
            </w:r>
          </w:p>
        </w:tc>
        <w:tc>
          <w:tcPr>
            <w:tcW w:w="187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2400</w:t>
            </w:r>
          </w:p>
        </w:tc>
      </w:tr>
      <w:tr>
        <w:tblPrEx>
          <w:tblLayout w:type="fixed"/>
          <w:tblCellMar>
            <w:top w:w="0" w:type="dxa"/>
            <w:left w:w="108" w:type="dxa"/>
            <w:bottom w:w="0" w:type="dxa"/>
            <w:right w:w="108" w:type="dxa"/>
          </w:tblCellMar>
        </w:tblPrEx>
        <w:trPr>
          <w:trHeight w:val="315" w:hRule="atLeast"/>
        </w:trPr>
        <w:tc>
          <w:tcPr>
            <w:tcW w:w="511"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7</w:t>
            </w:r>
          </w:p>
        </w:tc>
        <w:tc>
          <w:tcPr>
            <w:tcW w:w="105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元宝枫</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818"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650</w:t>
            </w:r>
          </w:p>
        </w:tc>
        <w:tc>
          <w:tcPr>
            <w:tcW w:w="187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511"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8</w:t>
            </w:r>
          </w:p>
        </w:tc>
        <w:tc>
          <w:tcPr>
            <w:tcW w:w="105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香椿</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818"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600</w:t>
            </w:r>
          </w:p>
        </w:tc>
        <w:tc>
          <w:tcPr>
            <w:tcW w:w="187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2600</w:t>
            </w:r>
          </w:p>
        </w:tc>
      </w:tr>
      <w:tr>
        <w:tblPrEx>
          <w:tblLayout w:type="fixed"/>
          <w:tblCellMar>
            <w:top w:w="0" w:type="dxa"/>
            <w:left w:w="108" w:type="dxa"/>
            <w:bottom w:w="0" w:type="dxa"/>
            <w:right w:w="108" w:type="dxa"/>
          </w:tblCellMar>
        </w:tblPrEx>
        <w:trPr>
          <w:trHeight w:val="315" w:hRule="atLeast"/>
        </w:trPr>
        <w:tc>
          <w:tcPr>
            <w:tcW w:w="511"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9</w:t>
            </w:r>
          </w:p>
        </w:tc>
        <w:tc>
          <w:tcPr>
            <w:tcW w:w="105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楝树</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818"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600</w:t>
            </w:r>
          </w:p>
        </w:tc>
        <w:tc>
          <w:tcPr>
            <w:tcW w:w="187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511"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105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榉树</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w:t>
            </w:r>
          </w:p>
        </w:tc>
        <w:tc>
          <w:tcPr>
            <w:tcW w:w="818"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600</w:t>
            </w:r>
          </w:p>
        </w:tc>
        <w:tc>
          <w:tcPr>
            <w:tcW w:w="187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511"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11</w:t>
            </w:r>
          </w:p>
        </w:tc>
        <w:tc>
          <w:tcPr>
            <w:tcW w:w="105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枫杨</w:t>
            </w:r>
          </w:p>
        </w:tc>
        <w:tc>
          <w:tcPr>
            <w:tcW w:w="113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w:t>
            </w:r>
          </w:p>
        </w:tc>
        <w:tc>
          <w:tcPr>
            <w:tcW w:w="818"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120</w:t>
            </w:r>
          </w:p>
        </w:tc>
        <w:tc>
          <w:tcPr>
            <w:tcW w:w="1843"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550</w:t>
            </w:r>
          </w:p>
        </w:tc>
        <w:tc>
          <w:tcPr>
            <w:tcW w:w="1875"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1000</w:t>
            </w:r>
          </w:p>
        </w:tc>
        <w:tc>
          <w:tcPr>
            <w:tcW w:w="1184"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2200</w:t>
            </w:r>
          </w:p>
        </w:tc>
      </w:tr>
    </w:tbl>
    <w:p>
      <w:pPr>
        <w:widowControl/>
        <w:tabs>
          <w:tab w:val="clear" w:pos="3261"/>
          <w:tab w:val="clear" w:pos="4536"/>
        </w:tabs>
        <w:adjustRightInd w:val="0"/>
        <w:snapToGrid w:val="0"/>
        <w:spacing w:line="360" w:lineRule="auto"/>
        <w:ind w:firstLine="560" w:firstLineChars="200"/>
        <w:rPr>
          <w:bCs/>
          <w:color w:val="000000"/>
        </w:rPr>
      </w:pPr>
    </w:p>
    <w:p>
      <w:pPr>
        <w:widowControl/>
        <w:tabs>
          <w:tab w:val="clear" w:pos="3261"/>
          <w:tab w:val="clear" w:pos="4536"/>
        </w:tabs>
        <w:adjustRightInd w:val="0"/>
        <w:snapToGrid w:val="0"/>
        <w:spacing w:line="360" w:lineRule="auto"/>
        <w:ind w:firstLine="560" w:firstLineChars="200"/>
        <w:rPr>
          <w:bCs/>
          <w:color w:val="000000"/>
        </w:rPr>
      </w:pPr>
      <w:r>
        <w:rPr>
          <w:bCs/>
          <w:color w:val="000000"/>
        </w:rPr>
        <w:t>枝桠材：按主伐材蓄积量20%计算，并按70%回收，枝桠材300元</w:t>
      </w:r>
      <w:r>
        <w:rPr>
          <w:rFonts w:hint="eastAsia"/>
          <w:bCs/>
          <w:color w:val="000000"/>
        </w:rPr>
        <w:t>/</w:t>
      </w:r>
      <w:r>
        <w:rPr>
          <w:bCs/>
          <w:color w:val="000000"/>
        </w:rPr>
        <w:t>吨。</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销售总收入：项目收入由各年间木材及苗木销售收入构成，经估算，运营期内总收入为</w:t>
      </w:r>
      <w:r>
        <w:rPr>
          <w:bCs/>
          <w:color w:val="000000"/>
        </w:rPr>
        <w:t>92712.08万元。</w:t>
      </w:r>
    </w:p>
    <w:p>
      <w:pPr>
        <w:widowControl/>
        <w:tabs>
          <w:tab w:val="clear" w:pos="3261"/>
          <w:tab w:val="clear" w:pos="4536"/>
        </w:tabs>
        <w:adjustRightInd w:val="0"/>
        <w:snapToGrid w:val="0"/>
        <w:spacing w:line="360" w:lineRule="auto"/>
        <w:ind w:firstLine="562" w:firstLineChars="200"/>
        <w:rPr>
          <w:b/>
          <w:bCs/>
          <w:color w:val="000000"/>
        </w:rPr>
      </w:pPr>
      <w:r>
        <w:rPr>
          <w:b/>
          <w:bCs/>
          <w:color w:val="000000"/>
        </w:rPr>
        <w:t>4</w:t>
      </w:r>
      <w:r>
        <w:rPr>
          <w:rFonts w:hint="eastAsia"/>
          <w:b/>
          <w:bCs/>
          <w:color w:val="000000"/>
        </w:rPr>
        <w:t>）</w:t>
      </w:r>
      <w:r>
        <w:rPr>
          <w:b/>
          <w:bCs/>
          <w:color w:val="000000"/>
        </w:rPr>
        <w:t>石龙区</w:t>
      </w:r>
    </w:p>
    <w:p>
      <w:pPr>
        <w:widowControl/>
        <w:tabs>
          <w:tab w:val="clear" w:pos="3261"/>
          <w:tab w:val="clear" w:pos="4536"/>
        </w:tabs>
        <w:adjustRightInd w:val="0"/>
        <w:snapToGrid w:val="0"/>
        <w:spacing w:line="360" w:lineRule="auto"/>
        <w:ind w:firstLine="560" w:firstLineChars="200"/>
        <w:rPr>
          <w:bCs/>
          <w:color w:val="000000"/>
        </w:rPr>
      </w:pPr>
      <w:r>
        <w:rPr>
          <w:rFonts w:hint="eastAsia" w:cs="宋体"/>
          <w:bCs/>
          <w:color w:val="000000"/>
        </w:rPr>
        <w:t>①</w:t>
      </w:r>
      <w:r>
        <w:rPr>
          <w:bCs/>
          <w:color w:val="000000"/>
        </w:rPr>
        <w:t>出材量</w:t>
      </w:r>
    </w:p>
    <w:p>
      <w:pPr>
        <w:widowControl/>
        <w:tabs>
          <w:tab w:val="clear" w:pos="3261"/>
          <w:tab w:val="clear" w:pos="4536"/>
        </w:tabs>
        <w:adjustRightInd w:val="0"/>
        <w:snapToGrid w:val="0"/>
        <w:spacing w:line="360" w:lineRule="auto"/>
        <w:ind w:firstLine="560" w:firstLineChars="200"/>
        <w:rPr>
          <w:bCs/>
          <w:color w:val="000000"/>
        </w:rPr>
      </w:pPr>
      <w:r>
        <w:rPr>
          <w:bCs/>
          <w:color w:val="000000"/>
        </w:rPr>
        <w:t>项目在树种选择上，既考虑现在，又着眼将来，更注重长远利益。一是用材树种榉树、黄连木、楸树、臭椿、刺槐和色木槭等，其中榉树、黄连木、楸树和色木槭属于珍贵树种，最终培育珍稀和大径级用材林，周期在25年以上，甚至更长时间；二是经济树种核桃，主要是收获果实，近期产生收益。</w:t>
      </w:r>
    </w:p>
    <w:p>
      <w:pPr>
        <w:widowControl/>
        <w:tabs>
          <w:tab w:val="clear" w:pos="3261"/>
          <w:tab w:val="clear" w:pos="4536"/>
        </w:tabs>
        <w:adjustRightInd w:val="0"/>
        <w:snapToGrid w:val="0"/>
        <w:spacing w:line="360" w:lineRule="auto"/>
        <w:ind w:firstLine="560" w:firstLineChars="200"/>
        <w:rPr>
          <w:bCs/>
          <w:color w:val="000000"/>
        </w:rPr>
      </w:pPr>
      <w:r>
        <w:rPr>
          <w:bCs/>
          <w:color w:val="000000"/>
        </w:rPr>
        <w:t>产品产量预测，项目</w:t>
      </w:r>
      <w:r>
        <w:rPr>
          <w:rFonts w:hint="eastAsia"/>
          <w:bCs/>
          <w:color w:val="000000"/>
        </w:rPr>
        <w:t>运营期</w:t>
      </w:r>
      <w:r>
        <w:rPr>
          <w:bCs/>
          <w:color w:val="000000"/>
        </w:rPr>
        <w:t>内用材树种：预测立木折算木材8.00万立方米，</w:t>
      </w:r>
      <w:r>
        <w:rPr>
          <w:rFonts w:hint="eastAsia"/>
          <w:bCs/>
          <w:color w:val="000000"/>
        </w:rPr>
        <w:t>枝桠</w:t>
      </w:r>
      <w:r>
        <w:rPr>
          <w:bCs/>
          <w:color w:val="000000"/>
        </w:rPr>
        <w:t>材3.22万立方米。</w:t>
      </w:r>
    </w:p>
    <w:p>
      <w:pPr>
        <w:widowControl/>
        <w:tabs>
          <w:tab w:val="clear" w:pos="3261"/>
          <w:tab w:val="clear" w:pos="4536"/>
        </w:tabs>
        <w:adjustRightInd w:val="0"/>
        <w:snapToGrid w:val="0"/>
        <w:spacing w:line="360" w:lineRule="auto"/>
        <w:ind w:firstLine="560" w:firstLineChars="200"/>
        <w:rPr>
          <w:bCs/>
          <w:color w:val="000000"/>
        </w:rPr>
      </w:pPr>
      <w:r>
        <w:rPr>
          <w:bCs/>
          <w:color w:val="000000"/>
        </w:rPr>
        <w:t>经济树种：</w:t>
      </w:r>
      <w:r>
        <w:rPr>
          <w:rFonts w:hint="eastAsia"/>
          <w:bCs/>
          <w:color w:val="000000"/>
        </w:rPr>
        <w:t>运营</w:t>
      </w:r>
      <w:r>
        <w:rPr>
          <w:bCs/>
          <w:color w:val="000000"/>
        </w:rPr>
        <w:t>期内收获果实0.61万吨</w:t>
      </w:r>
    </w:p>
    <w:p>
      <w:pPr>
        <w:widowControl/>
        <w:tabs>
          <w:tab w:val="clear" w:pos="3261"/>
          <w:tab w:val="clear" w:pos="4536"/>
        </w:tabs>
        <w:adjustRightInd w:val="0"/>
        <w:snapToGrid w:val="0"/>
        <w:spacing w:line="360" w:lineRule="auto"/>
        <w:ind w:firstLine="560" w:firstLineChars="200"/>
        <w:rPr>
          <w:bCs/>
          <w:color w:val="000000"/>
        </w:rPr>
      </w:pPr>
      <w:r>
        <w:rPr>
          <w:rFonts w:hint="eastAsia"/>
          <w:bCs/>
          <w:color w:val="000000"/>
        </w:rPr>
        <w:t>根据项目情况，结合市场单价并考虑采摘、销售费用等综合因素，测算木材及林果平均价格如表3.6所示：</w:t>
      </w:r>
    </w:p>
    <w:p>
      <w:pPr>
        <w:widowControl/>
        <w:tabs>
          <w:tab w:val="clear" w:pos="3261"/>
          <w:tab w:val="clear" w:pos="4536"/>
        </w:tabs>
        <w:adjustRightInd w:val="0"/>
        <w:snapToGrid w:val="0"/>
        <w:spacing w:line="360" w:lineRule="auto"/>
        <w:ind w:firstLine="560" w:firstLineChars="200"/>
        <w:jc w:val="center"/>
        <w:rPr>
          <w:bCs/>
          <w:color w:val="000000"/>
        </w:rPr>
      </w:pPr>
      <w:r>
        <w:rPr>
          <w:rFonts w:hint="eastAsia"/>
          <w:bCs/>
          <w:color w:val="000000"/>
        </w:rPr>
        <w:t>表3.6</w:t>
      </w:r>
      <w:r>
        <w:rPr>
          <w:bCs/>
          <w:color w:val="000000"/>
        </w:rPr>
        <w:t xml:space="preserve"> </w:t>
      </w:r>
      <w:r>
        <w:rPr>
          <w:rFonts w:hint="eastAsia"/>
          <w:bCs/>
          <w:color w:val="000000"/>
        </w:rPr>
        <w:t>项目产品市场价格预测</w:t>
      </w:r>
    </w:p>
    <w:p>
      <w:pPr>
        <w:widowControl/>
        <w:tabs>
          <w:tab w:val="clear" w:pos="3261"/>
          <w:tab w:val="clear" w:pos="4536"/>
        </w:tabs>
        <w:adjustRightInd w:val="0"/>
        <w:snapToGrid w:val="0"/>
        <w:ind w:firstLine="0" w:firstLineChars="0"/>
        <w:jc w:val="right"/>
        <w:rPr>
          <w:bCs/>
          <w:color w:val="000000"/>
          <w:sz w:val="24"/>
        </w:rPr>
      </w:pPr>
      <w:r>
        <w:rPr>
          <w:rFonts w:hint="eastAsia"/>
          <w:bCs/>
          <w:color w:val="000000"/>
          <w:sz w:val="24"/>
        </w:rPr>
        <w:t>单位：厘米、元、元/立方米</w:t>
      </w:r>
    </w:p>
    <w:tbl>
      <w:tblPr>
        <w:tblStyle w:val="44"/>
        <w:tblW w:w="8528" w:type="dxa"/>
        <w:tblInd w:w="0" w:type="dxa"/>
        <w:tblLayout w:type="fixed"/>
        <w:tblCellMar>
          <w:top w:w="0" w:type="dxa"/>
          <w:left w:w="108" w:type="dxa"/>
          <w:bottom w:w="0" w:type="dxa"/>
          <w:right w:w="108" w:type="dxa"/>
        </w:tblCellMar>
      </w:tblPr>
      <w:tblGrid>
        <w:gridCol w:w="903"/>
        <w:gridCol w:w="1211"/>
        <w:gridCol w:w="2386"/>
        <w:gridCol w:w="2386"/>
        <w:gridCol w:w="1642"/>
      </w:tblGrid>
      <w:tr>
        <w:tblPrEx>
          <w:tblLayout w:type="fixed"/>
          <w:tblCellMar>
            <w:top w:w="0" w:type="dxa"/>
            <w:left w:w="108" w:type="dxa"/>
            <w:bottom w:w="0" w:type="dxa"/>
            <w:right w:w="108" w:type="dxa"/>
          </w:tblCellMar>
        </w:tblPrEx>
        <w:trPr>
          <w:trHeight w:val="525" w:hRule="atLeast"/>
          <w:tblHeader/>
        </w:trPr>
        <w:tc>
          <w:tcPr>
            <w:tcW w:w="9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序号</w:t>
            </w:r>
          </w:p>
        </w:tc>
        <w:tc>
          <w:tcPr>
            <w:tcW w:w="121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项目</w:t>
            </w:r>
          </w:p>
        </w:tc>
        <w:tc>
          <w:tcPr>
            <w:tcW w:w="641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tabs>
                <w:tab w:val="clear" w:pos="3261"/>
                <w:tab w:val="clear" w:pos="4536"/>
              </w:tabs>
              <w:adjustRightInd w:val="0"/>
              <w:snapToGrid w:val="0"/>
              <w:ind w:firstLine="0" w:firstLineChars="0"/>
              <w:jc w:val="center"/>
              <w:rPr>
                <w:bCs/>
                <w:color w:val="000000"/>
                <w:kern w:val="0"/>
                <w:sz w:val="24"/>
                <w:szCs w:val="24"/>
              </w:rPr>
            </w:pPr>
            <w:r>
              <w:rPr>
                <w:rFonts w:hint="eastAsia"/>
                <w:bCs/>
                <w:color w:val="000000"/>
                <w:kern w:val="0"/>
                <w:sz w:val="24"/>
                <w:szCs w:val="24"/>
              </w:rPr>
              <w:t>销售价格</w:t>
            </w:r>
            <w:r>
              <w:rPr>
                <w:bCs/>
                <w:color w:val="000000"/>
                <w:kern w:val="0"/>
                <w:sz w:val="24"/>
                <w:szCs w:val="24"/>
              </w:rPr>
              <w:t xml:space="preserve"> (</w:t>
            </w:r>
            <w:r>
              <w:rPr>
                <w:rFonts w:hint="eastAsia"/>
                <w:bCs/>
                <w:color w:val="000000"/>
                <w:kern w:val="0"/>
                <w:sz w:val="24"/>
                <w:szCs w:val="24"/>
              </w:rPr>
              <w:t>元</w:t>
            </w:r>
            <w:r>
              <w:rPr>
                <w:bCs/>
                <w:color w:val="000000"/>
                <w:kern w:val="0"/>
                <w:sz w:val="24"/>
                <w:szCs w:val="24"/>
              </w:rPr>
              <w:t>/</w:t>
            </w:r>
            <w:r>
              <w:rPr>
                <w:rFonts w:hint="eastAsia"/>
                <w:bCs/>
                <w:color w:val="000000"/>
                <w:kern w:val="0"/>
                <w:sz w:val="24"/>
                <w:szCs w:val="24"/>
              </w:rPr>
              <w:t>立方米、元</w:t>
            </w:r>
            <w:r>
              <w:rPr>
                <w:bCs/>
                <w:color w:val="000000"/>
                <w:kern w:val="0"/>
                <w:sz w:val="24"/>
                <w:szCs w:val="24"/>
              </w:rPr>
              <w:t>/</w:t>
            </w:r>
            <w:r>
              <w:rPr>
                <w:rFonts w:hint="eastAsia"/>
                <w:bCs/>
                <w:color w:val="000000"/>
                <w:kern w:val="0"/>
                <w:sz w:val="24"/>
                <w:szCs w:val="24"/>
              </w:rPr>
              <w:t>株</w:t>
            </w:r>
            <w:r>
              <w:rPr>
                <w:bCs/>
                <w:color w:val="000000"/>
                <w:kern w:val="0"/>
                <w:sz w:val="24"/>
                <w:szCs w:val="24"/>
              </w:rPr>
              <w:t>)</w:t>
            </w:r>
          </w:p>
        </w:tc>
      </w:tr>
      <w:tr>
        <w:tblPrEx>
          <w:tblLayout w:type="fixed"/>
          <w:tblCellMar>
            <w:top w:w="0" w:type="dxa"/>
            <w:left w:w="108" w:type="dxa"/>
            <w:bottom w:w="0" w:type="dxa"/>
            <w:right w:w="108" w:type="dxa"/>
          </w:tblCellMar>
        </w:tblPrEx>
        <w:trPr>
          <w:trHeight w:val="419" w:hRule="atLeast"/>
          <w:tblHeader/>
        </w:trPr>
        <w:tc>
          <w:tcPr>
            <w:tcW w:w="903" w:type="dxa"/>
            <w:vMerge w:val="continue"/>
            <w:tcBorders>
              <w:top w:val="single" w:color="auto" w:sz="4" w:space="0"/>
              <w:left w:val="single" w:color="auto" w:sz="4" w:space="0"/>
              <w:bottom w:val="single" w:color="000000" w:sz="4" w:space="0"/>
              <w:right w:val="single" w:color="auto" w:sz="4" w:space="0"/>
            </w:tcBorders>
            <w:vAlign w:val="center"/>
          </w:tcPr>
          <w:p>
            <w:pPr>
              <w:widowControl/>
              <w:tabs>
                <w:tab w:val="clear" w:pos="3261"/>
                <w:tab w:val="clear" w:pos="4536"/>
              </w:tabs>
              <w:adjustRightInd w:val="0"/>
              <w:snapToGrid w:val="0"/>
              <w:ind w:firstLine="0" w:firstLineChars="0"/>
              <w:jc w:val="left"/>
              <w:rPr>
                <w:bCs/>
                <w:color w:val="000000"/>
                <w:kern w:val="0"/>
                <w:sz w:val="24"/>
                <w:szCs w:val="24"/>
              </w:rPr>
            </w:pPr>
          </w:p>
        </w:tc>
        <w:tc>
          <w:tcPr>
            <w:tcW w:w="1211" w:type="dxa"/>
            <w:vMerge w:val="continue"/>
            <w:tcBorders>
              <w:top w:val="single" w:color="auto" w:sz="4" w:space="0"/>
              <w:left w:val="single" w:color="auto" w:sz="4" w:space="0"/>
              <w:bottom w:val="single" w:color="000000" w:sz="4" w:space="0"/>
              <w:right w:val="single" w:color="auto" w:sz="4" w:space="0"/>
            </w:tcBorders>
            <w:vAlign w:val="center"/>
          </w:tcPr>
          <w:p>
            <w:pPr>
              <w:widowControl/>
              <w:tabs>
                <w:tab w:val="clear" w:pos="3261"/>
                <w:tab w:val="clear" w:pos="4536"/>
              </w:tabs>
              <w:adjustRightInd w:val="0"/>
              <w:snapToGrid w:val="0"/>
              <w:ind w:firstLine="0" w:firstLineChars="0"/>
              <w:jc w:val="left"/>
              <w:rPr>
                <w:bCs/>
                <w:color w:val="000000"/>
                <w:kern w:val="0"/>
                <w:sz w:val="24"/>
                <w:szCs w:val="24"/>
              </w:rPr>
            </w:pP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小径材</w:t>
            </w:r>
          </w:p>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w:t>
            </w:r>
            <w:r>
              <w:rPr>
                <w:color w:val="000000"/>
                <w:kern w:val="0"/>
                <w:sz w:val="24"/>
                <w:szCs w:val="24"/>
              </w:rPr>
              <w:t>14cm-18cm</w:t>
            </w:r>
            <w:r>
              <w:rPr>
                <w:rFonts w:hint="eastAsia"/>
                <w:color w:val="000000"/>
                <w:kern w:val="0"/>
                <w:sz w:val="24"/>
                <w:szCs w:val="24"/>
              </w:rPr>
              <w:t>）</w:t>
            </w: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中径材</w:t>
            </w:r>
          </w:p>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w:t>
            </w:r>
            <w:r>
              <w:rPr>
                <w:color w:val="000000"/>
                <w:kern w:val="0"/>
                <w:sz w:val="24"/>
                <w:szCs w:val="24"/>
              </w:rPr>
              <w:t>20cm-24cm</w:t>
            </w:r>
            <w:r>
              <w:rPr>
                <w:rFonts w:hint="eastAsia"/>
                <w:color w:val="000000"/>
                <w:kern w:val="0"/>
                <w:sz w:val="24"/>
                <w:szCs w:val="24"/>
              </w:rPr>
              <w:t>）</w:t>
            </w:r>
          </w:p>
        </w:tc>
        <w:tc>
          <w:tcPr>
            <w:tcW w:w="1642" w:type="dxa"/>
            <w:tcBorders>
              <w:top w:val="nil"/>
              <w:left w:val="nil"/>
              <w:bottom w:val="nil"/>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大径材</w:t>
            </w:r>
          </w:p>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w:t>
            </w:r>
            <w:r>
              <w:rPr>
                <w:rFonts w:hint="eastAsia"/>
                <w:color w:val="000000"/>
                <w:kern w:val="0"/>
                <w:sz w:val="24"/>
                <w:szCs w:val="24"/>
              </w:rPr>
              <w:t>＞</w:t>
            </w:r>
            <w:r>
              <w:rPr>
                <w:color w:val="000000"/>
                <w:kern w:val="0"/>
                <w:sz w:val="24"/>
                <w:szCs w:val="24"/>
              </w:rPr>
              <w:t>26cm)</w:t>
            </w:r>
          </w:p>
        </w:tc>
      </w:tr>
      <w:tr>
        <w:tblPrEx>
          <w:tblLayout w:type="fixed"/>
          <w:tblCellMar>
            <w:top w:w="0" w:type="dxa"/>
            <w:left w:w="108" w:type="dxa"/>
            <w:bottom w:w="0" w:type="dxa"/>
            <w:right w:w="108" w:type="dxa"/>
          </w:tblCellMar>
        </w:tblPrEx>
        <w:trPr>
          <w:trHeight w:val="315" w:hRule="atLeast"/>
        </w:trPr>
        <w:tc>
          <w:tcPr>
            <w:tcW w:w="903"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w:t>
            </w:r>
          </w:p>
        </w:tc>
        <w:tc>
          <w:tcPr>
            <w:tcW w:w="1211"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榉树</w:t>
            </w: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600</w:t>
            </w: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1000</w:t>
            </w:r>
          </w:p>
        </w:tc>
        <w:tc>
          <w:tcPr>
            <w:tcW w:w="1642" w:type="dxa"/>
            <w:tcBorders>
              <w:top w:val="single" w:color="auto" w:sz="4" w:space="0"/>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903"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w:t>
            </w:r>
          </w:p>
        </w:tc>
        <w:tc>
          <w:tcPr>
            <w:tcW w:w="1211"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楸树</w:t>
            </w: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600</w:t>
            </w: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1000</w:t>
            </w:r>
          </w:p>
        </w:tc>
        <w:tc>
          <w:tcPr>
            <w:tcW w:w="164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903"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3</w:t>
            </w:r>
          </w:p>
        </w:tc>
        <w:tc>
          <w:tcPr>
            <w:tcW w:w="1211"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臭椿</w:t>
            </w: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400</w:t>
            </w: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1000</w:t>
            </w:r>
          </w:p>
        </w:tc>
        <w:tc>
          <w:tcPr>
            <w:tcW w:w="164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903"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4</w:t>
            </w:r>
          </w:p>
        </w:tc>
        <w:tc>
          <w:tcPr>
            <w:tcW w:w="1211"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刺槐</w:t>
            </w: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450</w:t>
            </w: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800</w:t>
            </w:r>
          </w:p>
        </w:tc>
        <w:tc>
          <w:tcPr>
            <w:tcW w:w="164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1000</w:t>
            </w:r>
          </w:p>
        </w:tc>
      </w:tr>
      <w:tr>
        <w:tblPrEx>
          <w:tblLayout w:type="fixed"/>
          <w:tblCellMar>
            <w:top w:w="0" w:type="dxa"/>
            <w:left w:w="108" w:type="dxa"/>
            <w:bottom w:w="0" w:type="dxa"/>
            <w:right w:w="108" w:type="dxa"/>
          </w:tblCellMar>
        </w:tblPrEx>
        <w:trPr>
          <w:trHeight w:val="315" w:hRule="atLeast"/>
        </w:trPr>
        <w:tc>
          <w:tcPr>
            <w:tcW w:w="903"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5</w:t>
            </w:r>
          </w:p>
        </w:tc>
        <w:tc>
          <w:tcPr>
            <w:tcW w:w="1211"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色木槭</w:t>
            </w: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600</w:t>
            </w: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1000</w:t>
            </w:r>
          </w:p>
        </w:tc>
        <w:tc>
          <w:tcPr>
            <w:tcW w:w="164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903"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6</w:t>
            </w:r>
          </w:p>
        </w:tc>
        <w:tc>
          <w:tcPr>
            <w:tcW w:w="1211"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黄连木</w:t>
            </w: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800</w:t>
            </w:r>
          </w:p>
        </w:tc>
        <w:tc>
          <w:tcPr>
            <w:tcW w:w="2386"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1500</w:t>
            </w:r>
          </w:p>
        </w:tc>
        <w:tc>
          <w:tcPr>
            <w:tcW w:w="164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2500</w:t>
            </w:r>
          </w:p>
        </w:tc>
      </w:tr>
      <w:tr>
        <w:tblPrEx>
          <w:tblLayout w:type="fixed"/>
          <w:tblCellMar>
            <w:top w:w="0" w:type="dxa"/>
            <w:left w:w="108" w:type="dxa"/>
            <w:bottom w:w="0" w:type="dxa"/>
            <w:right w:w="108" w:type="dxa"/>
          </w:tblCellMar>
        </w:tblPrEx>
        <w:trPr>
          <w:trHeight w:val="315" w:hRule="atLeast"/>
        </w:trPr>
        <w:tc>
          <w:tcPr>
            <w:tcW w:w="903" w:type="dxa"/>
            <w:tcBorders>
              <w:top w:val="nil"/>
              <w:left w:val="single" w:color="auto" w:sz="4" w:space="0"/>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7</w:t>
            </w:r>
          </w:p>
        </w:tc>
        <w:tc>
          <w:tcPr>
            <w:tcW w:w="1211"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核桃</w:t>
            </w:r>
          </w:p>
        </w:tc>
        <w:tc>
          <w:tcPr>
            <w:tcW w:w="477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tabs>
                <w:tab w:val="clear" w:pos="3261"/>
                <w:tab w:val="clear" w:pos="4536"/>
              </w:tabs>
              <w:adjustRightInd w:val="0"/>
              <w:snapToGrid w:val="0"/>
              <w:ind w:firstLine="0" w:firstLineChars="0"/>
              <w:jc w:val="center"/>
              <w:rPr>
                <w:color w:val="000000"/>
                <w:kern w:val="0"/>
                <w:sz w:val="24"/>
                <w:szCs w:val="24"/>
              </w:rPr>
            </w:pPr>
            <w:r>
              <w:rPr>
                <w:rFonts w:hint="eastAsia"/>
                <w:color w:val="000000"/>
                <w:kern w:val="0"/>
                <w:sz w:val="24"/>
                <w:szCs w:val="24"/>
              </w:rPr>
              <w:t>销售价格</w:t>
            </w:r>
            <w:r>
              <w:rPr>
                <w:color w:val="000000"/>
                <w:kern w:val="0"/>
                <w:sz w:val="24"/>
                <w:szCs w:val="24"/>
              </w:rPr>
              <w:t>(</w:t>
            </w:r>
            <w:r>
              <w:rPr>
                <w:rFonts w:hint="eastAsia"/>
                <w:color w:val="000000"/>
                <w:kern w:val="0"/>
                <w:sz w:val="24"/>
                <w:szCs w:val="24"/>
              </w:rPr>
              <w:t>元</w:t>
            </w:r>
            <w:r>
              <w:rPr>
                <w:color w:val="000000"/>
                <w:kern w:val="0"/>
                <w:sz w:val="24"/>
                <w:szCs w:val="24"/>
              </w:rPr>
              <w:t>/</w:t>
            </w:r>
            <w:r>
              <w:rPr>
                <w:rFonts w:hint="eastAsia"/>
                <w:color w:val="000000"/>
                <w:kern w:val="0"/>
                <w:sz w:val="24"/>
                <w:szCs w:val="24"/>
              </w:rPr>
              <w:t>千克</w:t>
            </w:r>
            <w:r>
              <w:rPr>
                <w:color w:val="000000"/>
                <w:kern w:val="0"/>
                <w:sz w:val="24"/>
                <w:szCs w:val="24"/>
              </w:rPr>
              <w:t>)</w:t>
            </w:r>
          </w:p>
        </w:tc>
        <w:tc>
          <w:tcPr>
            <w:tcW w:w="1642" w:type="dxa"/>
            <w:tcBorders>
              <w:top w:val="nil"/>
              <w:left w:val="nil"/>
              <w:bottom w:val="single" w:color="auto" w:sz="4" w:space="0"/>
              <w:right w:val="single" w:color="auto" w:sz="4" w:space="0"/>
            </w:tcBorders>
            <w:shd w:val="clear" w:color="auto" w:fill="auto"/>
            <w:vAlign w:val="center"/>
          </w:tcPr>
          <w:p>
            <w:pPr>
              <w:widowControl/>
              <w:tabs>
                <w:tab w:val="clear" w:pos="3261"/>
                <w:tab w:val="clear" w:pos="4536"/>
              </w:tabs>
              <w:adjustRightInd w:val="0"/>
              <w:snapToGrid w:val="0"/>
              <w:ind w:firstLine="0" w:firstLineChars="0"/>
              <w:jc w:val="center"/>
              <w:rPr>
                <w:color w:val="000000"/>
                <w:kern w:val="0"/>
                <w:sz w:val="24"/>
                <w:szCs w:val="24"/>
              </w:rPr>
            </w:pPr>
            <w:r>
              <w:rPr>
                <w:color w:val="000000"/>
                <w:kern w:val="0"/>
                <w:sz w:val="24"/>
                <w:szCs w:val="24"/>
              </w:rPr>
              <w:t>15</w:t>
            </w:r>
          </w:p>
        </w:tc>
      </w:tr>
    </w:tbl>
    <w:p>
      <w:pPr>
        <w:widowControl/>
        <w:tabs>
          <w:tab w:val="clear" w:pos="3261"/>
          <w:tab w:val="clear" w:pos="4536"/>
        </w:tabs>
        <w:adjustRightInd w:val="0"/>
        <w:snapToGrid w:val="0"/>
        <w:spacing w:line="360" w:lineRule="auto"/>
        <w:ind w:firstLine="560" w:firstLineChars="200"/>
        <w:rPr>
          <w:b/>
          <w:bCs/>
          <w:color w:val="000000"/>
        </w:rPr>
      </w:pPr>
      <w:r>
        <w:rPr>
          <w:rFonts w:hint="eastAsia" w:cs="宋体"/>
          <w:bCs/>
          <w:color w:val="000000"/>
        </w:rPr>
        <w:t>②</w:t>
      </w:r>
      <w:r>
        <w:rPr>
          <w:bCs/>
          <w:color w:val="000000"/>
        </w:rPr>
        <w:t>总收入估算</w:t>
      </w:r>
    </w:p>
    <w:p>
      <w:pPr>
        <w:tabs>
          <w:tab w:val="left" w:pos="0"/>
          <w:tab w:val="left" w:pos="426"/>
        </w:tabs>
        <w:spacing w:line="360" w:lineRule="auto"/>
        <w:ind w:right="-57" w:firstLine="560" w:firstLineChars="200"/>
        <w:rPr>
          <w:color w:val="000000" w:themeColor="text1"/>
          <w14:textFill>
            <w14:solidFill>
              <w14:schemeClr w14:val="tx1"/>
            </w14:solidFill>
          </w14:textFill>
        </w:rPr>
      </w:pPr>
      <w:r>
        <w:rPr>
          <w:bCs/>
          <w:color w:val="000000"/>
        </w:rPr>
        <w:t>项目收入由各年间木材销售收入构成，经估算，</w:t>
      </w:r>
      <w:r>
        <w:rPr>
          <w:rFonts w:hint="eastAsia"/>
          <w:bCs/>
          <w:color w:val="000000"/>
        </w:rPr>
        <w:t>运营期内总收入为</w:t>
      </w:r>
      <w:r>
        <w:rPr>
          <w:bCs/>
          <w:color w:val="000000"/>
        </w:rPr>
        <w:t>29478.61万元。</w:t>
      </w:r>
    </w:p>
    <w:p>
      <w:pPr>
        <w:tabs>
          <w:tab w:val="left" w:pos="0"/>
          <w:tab w:val="left" w:pos="426"/>
        </w:tabs>
        <w:spacing w:line="360" w:lineRule="auto"/>
        <w:ind w:right="-57"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5）项目运营期使用者付费收入表</w:t>
      </w:r>
    </w:p>
    <w:p>
      <w:pPr>
        <w:tabs>
          <w:tab w:val="left" w:pos="0"/>
          <w:tab w:val="left" w:pos="426"/>
        </w:tabs>
        <w:spacing w:line="360" w:lineRule="auto"/>
        <w:ind w:right="-57" w:firstLine="560" w:firstLineChars="200"/>
        <w:rPr>
          <w:color w:val="000000" w:themeColor="text1"/>
          <w14:textFill>
            <w14:solidFill>
              <w14:schemeClr w14:val="tx1"/>
            </w14:solidFill>
          </w14:textFill>
        </w:rPr>
        <w:sectPr>
          <w:pgSz w:w="11906" w:h="16838"/>
          <w:pgMar w:top="1440" w:right="1797" w:bottom="1440" w:left="1797" w:header="1021" w:footer="851" w:gutter="0"/>
          <w:cols w:space="425" w:num="1"/>
          <w:docGrid w:type="lines" w:linePitch="312" w:charSpace="0"/>
        </w:sectPr>
      </w:pPr>
    </w:p>
    <w:p>
      <w:pPr>
        <w:tabs>
          <w:tab w:val="clear" w:pos="3261"/>
          <w:tab w:val="clear" w:pos="4536"/>
        </w:tabs>
        <w:ind w:firstLine="0" w:firstLineChars="0"/>
        <w:jc w:val="center"/>
        <w:rPr>
          <w:b/>
          <w:color w:val="000000"/>
        </w:rPr>
      </w:pPr>
      <w:r>
        <w:rPr>
          <w:rFonts w:hint="eastAsia"/>
          <w:b/>
          <w:color w:val="000000"/>
        </w:rPr>
        <w:t>表3.7</w:t>
      </w:r>
      <w:r>
        <w:rPr>
          <w:b/>
          <w:color w:val="000000"/>
        </w:rPr>
        <w:t>运营期测算</w:t>
      </w:r>
      <w:r>
        <w:rPr>
          <w:rFonts w:hint="eastAsia"/>
          <w:b/>
          <w:color w:val="000000"/>
        </w:rPr>
        <w:t>使用者付费</w:t>
      </w:r>
      <w:r>
        <w:rPr>
          <w:b/>
          <w:color w:val="000000"/>
        </w:rPr>
        <w:t>收入估算表</w:t>
      </w:r>
      <w:r>
        <w:rPr>
          <w:rFonts w:hint="eastAsia"/>
          <w:b/>
          <w:color w:val="000000"/>
        </w:rPr>
        <w:t>（万元）</w:t>
      </w:r>
      <w:r>
        <w:rPr>
          <w:b/>
          <w:color w:val="000000"/>
        </w:rPr>
        <w:t xml:space="preserve"> </w:t>
      </w:r>
    </w:p>
    <w:p>
      <w:pPr>
        <w:tabs>
          <w:tab w:val="clear" w:pos="3261"/>
          <w:tab w:val="clear" w:pos="4536"/>
        </w:tabs>
        <w:ind w:firstLine="0" w:firstLineChars="0"/>
        <w:jc w:val="left"/>
        <w:rPr>
          <w:rFonts w:eastAsia="等线"/>
          <w:color w:val="000000"/>
          <w:sz w:val="21"/>
          <w:szCs w:val="22"/>
        </w:rPr>
      </w:pPr>
      <w:r>
        <w:rPr>
          <w:rFonts w:eastAsia="等线"/>
          <w:sz w:val="21"/>
          <w:szCs w:val="22"/>
        </w:rPr>
        <w:drawing>
          <wp:inline distT="0" distB="0" distL="0" distR="0">
            <wp:extent cx="8867775" cy="34956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863330" cy="3493923"/>
                    </a:xfrm>
                    <a:prstGeom prst="rect">
                      <a:avLst/>
                    </a:prstGeom>
                    <a:noFill/>
                    <a:ln>
                      <a:noFill/>
                    </a:ln>
                  </pic:spPr>
                </pic:pic>
              </a:graphicData>
            </a:graphic>
          </wp:inline>
        </w:drawing>
      </w:r>
    </w:p>
    <w:p>
      <w:pPr>
        <w:tabs>
          <w:tab w:val="clear" w:pos="3261"/>
          <w:tab w:val="clear" w:pos="4536"/>
        </w:tabs>
        <w:ind w:firstLine="0" w:firstLineChars="0"/>
        <w:jc w:val="center"/>
        <w:rPr>
          <w:b/>
          <w:color w:val="000000"/>
        </w:rPr>
      </w:pPr>
      <w:r>
        <w:rPr>
          <w:rFonts w:eastAsia="等线"/>
          <w:sz w:val="21"/>
          <w:szCs w:val="22"/>
        </w:rPr>
        <w:drawing>
          <wp:inline distT="0" distB="0" distL="0" distR="0">
            <wp:extent cx="8867775" cy="37147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863330" cy="3712888"/>
                    </a:xfrm>
                    <a:prstGeom prst="rect">
                      <a:avLst/>
                    </a:prstGeom>
                    <a:noFill/>
                    <a:ln>
                      <a:noFill/>
                    </a:ln>
                  </pic:spPr>
                </pic:pic>
              </a:graphicData>
            </a:graphic>
          </wp:inline>
        </w:drawing>
      </w:r>
    </w:p>
    <w:p>
      <w:pPr>
        <w:tabs>
          <w:tab w:val="clear" w:pos="3261"/>
          <w:tab w:val="clear" w:pos="4536"/>
        </w:tabs>
        <w:ind w:firstLine="0" w:firstLineChars="0"/>
        <w:jc w:val="center"/>
        <w:rPr>
          <w:b/>
          <w:color w:val="000000"/>
        </w:rPr>
        <w:sectPr>
          <w:pgSz w:w="16838" w:h="11906" w:orient="landscape"/>
          <w:pgMar w:top="1276" w:right="1440" w:bottom="1797" w:left="1440" w:header="851" w:footer="992" w:gutter="0"/>
          <w:cols w:space="425" w:num="1"/>
          <w:docGrid w:type="linesAndChars" w:linePitch="312" w:charSpace="0"/>
        </w:sectPr>
      </w:pPr>
    </w:p>
    <w:p>
      <w:pPr>
        <w:pStyle w:val="3"/>
        <w:ind w:firstLine="562"/>
        <w:rPr>
          <w:color w:val="000000" w:themeColor="text1"/>
          <w14:textFill>
            <w14:solidFill>
              <w14:schemeClr w14:val="tx1"/>
            </w14:solidFill>
          </w14:textFill>
        </w:rPr>
      </w:pPr>
      <w:bookmarkStart w:id="20" w:name="_Toc3974724"/>
      <w:r>
        <w:rPr>
          <w:rFonts w:hint="eastAsia"/>
          <w:color w:val="000000" w:themeColor="text1"/>
          <w14:textFill>
            <w14:solidFill>
              <w14:schemeClr w14:val="tx1"/>
            </w14:solidFill>
          </w14:textFill>
        </w:rPr>
        <w:t>7、项目可行性缺口补助费用计算及支付</w:t>
      </w:r>
      <w:bookmarkEnd w:id="20"/>
    </w:p>
    <w:p>
      <w:pPr>
        <w:spacing w:line="360" w:lineRule="auto"/>
      </w:pPr>
      <w:r>
        <w:rPr>
          <w:rFonts w:hint="eastAsia"/>
        </w:rPr>
        <w:t>政府年度可行性缺口补助=当年可用性付费×70%×建设过程绩效考核系数+(当年可用性付费×30%+运营维护付费)×运营维护期绩效考核系数-使用者付费收入。</w:t>
      </w:r>
    </w:p>
    <w:p>
      <w:pPr>
        <w:tabs>
          <w:tab w:val="clear" w:pos="3261"/>
          <w:tab w:val="clear" w:pos="4536"/>
        </w:tabs>
        <w:adjustRightInd w:val="0"/>
        <w:snapToGrid w:val="0"/>
        <w:spacing w:line="360" w:lineRule="auto"/>
        <w:ind w:firstLine="560" w:firstLineChars="200"/>
        <w:rPr>
          <w:color w:val="000000"/>
        </w:rPr>
      </w:pPr>
      <w:r>
        <w:rPr>
          <w:rFonts w:hint="eastAsia"/>
          <w:color w:val="000000"/>
        </w:rPr>
        <w:t>（1）</w:t>
      </w:r>
      <w:r>
        <w:rPr>
          <w:color w:val="000000"/>
        </w:rPr>
        <w:t>可行性缺口补助的起始时间</w:t>
      </w:r>
    </w:p>
    <w:p>
      <w:pPr>
        <w:tabs>
          <w:tab w:val="clear" w:pos="3261"/>
          <w:tab w:val="clear" w:pos="4536"/>
        </w:tabs>
        <w:adjustRightInd w:val="0"/>
        <w:snapToGrid w:val="0"/>
        <w:spacing w:line="360" w:lineRule="auto"/>
        <w:ind w:firstLine="560" w:firstLineChars="200"/>
        <w:rPr>
          <w:color w:val="000000"/>
        </w:rPr>
      </w:pPr>
      <w:r>
        <w:rPr>
          <w:rFonts w:hint="eastAsia"/>
          <w:color w:val="000000"/>
        </w:rPr>
        <w:t>本项目合作期</w:t>
      </w:r>
      <w:r>
        <w:rPr>
          <w:color w:val="000000"/>
        </w:rPr>
        <w:t>25年，其中建设期</w:t>
      </w:r>
      <w:r>
        <w:rPr>
          <w:rFonts w:hint="eastAsia"/>
          <w:color w:val="000000"/>
        </w:rPr>
        <w:t>6</w:t>
      </w:r>
      <w:r>
        <w:rPr>
          <w:color w:val="000000"/>
        </w:rPr>
        <w:t>年、运营期</w:t>
      </w:r>
      <w:r>
        <w:rPr>
          <w:rFonts w:hint="eastAsia"/>
          <w:color w:val="000000"/>
        </w:rPr>
        <w:t>19</w:t>
      </w:r>
      <w:r>
        <w:rPr>
          <w:color w:val="000000"/>
        </w:rPr>
        <w:t>年，政府补</w:t>
      </w:r>
      <w:r>
        <w:rPr>
          <w:rFonts w:hint="eastAsia"/>
          <w:color w:val="000000"/>
        </w:rPr>
        <w:t>助责任于项目正式进入运营后（项目竣工验收合格之日起进入运营期），按照约定支付方式进行支付。</w:t>
      </w:r>
    </w:p>
    <w:p>
      <w:pPr>
        <w:tabs>
          <w:tab w:val="clear" w:pos="3261"/>
          <w:tab w:val="clear" w:pos="4536"/>
        </w:tabs>
        <w:adjustRightInd w:val="0"/>
        <w:snapToGrid w:val="0"/>
        <w:spacing w:line="360" w:lineRule="auto"/>
        <w:ind w:firstLine="560" w:firstLineChars="200"/>
        <w:rPr>
          <w:color w:val="000000"/>
        </w:rPr>
      </w:pPr>
      <w:r>
        <w:rPr>
          <w:rFonts w:hint="eastAsia"/>
          <w:color w:val="000000"/>
        </w:rPr>
        <w:t>（2）方案提供可行性缺口补助支付时间节点如下，具体以PPP合同约定为准。</w:t>
      </w:r>
    </w:p>
    <w:p>
      <w:pPr>
        <w:tabs>
          <w:tab w:val="clear" w:pos="3261"/>
          <w:tab w:val="clear" w:pos="4536"/>
        </w:tabs>
        <w:adjustRightInd w:val="0"/>
        <w:snapToGrid w:val="0"/>
        <w:spacing w:line="360" w:lineRule="auto"/>
        <w:ind w:firstLine="560" w:firstLineChars="200"/>
        <w:rPr>
          <w:color w:val="000000"/>
        </w:rPr>
      </w:pPr>
      <w:r>
        <w:rPr>
          <w:rFonts w:hint="eastAsia"/>
          <w:color w:val="000000"/>
        </w:rPr>
        <w:t>项目全部竣工验收合格之日起满一个公历年为第一个运营年，依次往后推算运营年；</w:t>
      </w:r>
    </w:p>
    <w:p>
      <w:pPr>
        <w:tabs>
          <w:tab w:val="clear" w:pos="3261"/>
          <w:tab w:val="clear" w:pos="4536"/>
        </w:tabs>
        <w:adjustRightInd w:val="0"/>
        <w:snapToGrid w:val="0"/>
        <w:spacing w:line="360" w:lineRule="auto"/>
        <w:ind w:firstLine="560" w:firstLineChars="200"/>
        <w:rPr>
          <w:color w:val="000000"/>
        </w:rPr>
      </w:pPr>
      <w:r>
        <w:rPr>
          <w:rFonts w:hint="eastAsia"/>
          <w:color w:val="000000"/>
        </w:rPr>
        <w:t>第一个运营年的可用性服务费支付时点为：竣工验收通过之日项目公司可申请支付第一个运营年可用性付费的</w:t>
      </w:r>
      <w:r>
        <w:rPr>
          <w:color w:val="000000"/>
        </w:rPr>
        <w:t>70%×</w:t>
      </w:r>
      <w:r>
        <w:rPr>
          <w:rFonts w:hint="eastAsia"/>
          <w:color w:val="000000"/>
        </w:rPr>
        <w:t>建设期绩效考核系数</w:t>
      </w:r>
      <w:r>
        <w:rPr>
          <w:color w:val="000000"/>
        </w:rPr>
        <w:t>，</w:t>
      </w:r>
      <w:r>
        <w:rPr>
          <w:rFonts w:hint="eastAsia"/>
          <w:color w:val="000000"/>
        </w:rPr>
        <w:t>在项目通过竣工验收后项目公司申请之日起算且在预算支付费用人大批复后6</w:t>
      </w:r>
      <w:r>
        <w:rPr>
          <w:color w:val="000000"/>
        </w:rPr>
        <w:t>0个工作日内完成支付。</w:t>
      </w:r>
    </w:p>
    <w:p>
      <w:pPr>
        <w:tabs>
          <w:tab w:val="clear" w:pos="3261"/>
          <w:tab w:val="clear" w:pos="4536"/>
        </w:tabs>
        <w:adjustRightInd w:val="0"/>
        <w:snapToGrid w:val="0"/>
        <w:spacing w:line="360" w:lineRule="auto"/>
        <w:ind w:firstLine="560" w:firstLineChars="200"/>
        <w:rPr>
          <w:color w:val="000000"/>
        </w:rPr>
      </w:pPr>
      <w:r>
        <w:rPr>
          <w:rFonts w:hint="eastAsia"/>
          <w:color w:val="000000"/>
        </w:rPr>
        <w:t>第二个运营年初，政府可行性缺口补助费用</w:t>
      </w:r>
      <w:r>
        <w:rPr>
          <w:color w:val="000000"/>
        </w:rPr>
        <w:t>=第二个运营年可用性服务费的70%×</w:t>
      </w:r>
      <w:r>
        <w:rPr>
          <w:rFonts w:hint="eastAsia"/>
          <w:color w:val="000000"/>
        </w:rPr>
        <w:t>建设期绩效考核系数</w:t>
      </w:r>
      <w:r>
        <w:rPr>
          <w:color w:val="000000"/>
        </w:rPr>
        <w:t>+（第一个运营年可用性服务费的30%+第一个运营年的运维绩效服务费）*第一年的运营绩效考核系数</w:t>
      </w:r>
      <w:r>
        <w:rPr>
          <w:rFonts w:hint="eastAsia"/>
          <w:color w:val="000000"/>
        </w:rPr>
        <w:t>－</w:t>
      </w:r>
      <w:r>
        <w:rPr>
          <w:color w:val="000000"/>
        </w:rPr>
        <w:t>第一个运营年的使用者付费。</w:t>
      </w:r>
      <w:r>
        <w:rPr>
          <w:rFonts w:hint="eastAsia"/>
          <w:color w:val="000000"/>
        </w:rPr>
        <w:t>于项目进入第二个运营年后项目公司申请之日起且在预算支付费用人大批复后6</w:t>
      </w:r>
      <w:r>
        <w:rPr>
          <w:color w:val="000000"/>
        </w:rPr>
        <w:t>0个工作日内完成支付。</w:t>
      </w:r>
    </w:p>
    <w:p>
      <w:pPr>
        <w:tabs>
          <w:tab w:val="clear" w:pos="3261"/>
          <w:tab w:val="clear" w:pos="4536"/>
        </w:tabs>
        <w:adjustRightInd w:val="0"/>
        <w:snapToGrid w:val="0"/>
        <w:spacing w:line="360" w:lineRule="auto"/>
        <w:ind w:firstLine="560" w:firstLineChars="200"/>
        <w:rPr>
          <w:color w:val="000000"/>
        </w:rPr>
      </w:pPr>
      <w:r>
        <w:rPr>
          <w:rFonts w:hint="eastAsia"/>
          <w:color w:val="000000"/>
        </w:rPr>
        <w:t>第三个运营年初，政府可行性缺口补助费用</w:t>
      </w:r>
      <w:r>
        <w:rPr>
          <w:color w:val="000000"/>
        </w:rPr>
        <w:t>=第三个运营年可用性服务费的70%×</w:t>
      </w:r>
      <w:r>
        <w:rPr>
          <w:rFonts w:hint="eastAsia"/>
          <w:color w:val="000000"/>
        </w:rPr>
        <w:t>建设期绩效考核系数</w:t>
      </w:r>
      <w:r>
        <w:rPr>
          <w:color w:val="000000"/>
        </w:rPr>
        <w:t>+（第二个运营年可用性服务费的30%+第二个运营年的运维绩效服务费）*第二年的运营绩效考核系数</w:t>
      </w:r>
      <w:r>
        <w:rPr>
          <w:rFonts w:hint="eastAsia"/>
          <w:color w:val="000000"/>
        </w:rPr>
        <w:t>－</w:t>
      </w:r>
      <w:r>
        <w:rPr>
          <w:color w:val="000000"/>
        </w:rPr>
        <w:t>第二个运营年的使用者付费，</w:t>
      </w:r>
      <w:r>
        <w:rPr>
          <w:rFonts w:hint="eastAsia"/>
          <w:color w:val="000000"/>
        </w:rPr>
        <w:t>于项目进入第三个运营年后项目公司申请之日起且在预算支付费用人大批复后</w:t>
      </w:r>
      <w:r>
        <w:rPr>
          <w:color w:val="000000"/>
        </w:rPr>
        <w:t>60个工作日内完成支付。</w:t>
      </w:r>
    </w:p>
    <w:p>
      <w:pPr>
        <w:tabs>
          <w:tab w:val="clear" w:pos="3261"/>
          <w:tab w:val="clear" w:pos="4536"/>
        </w:tabs>
        <w:adjustRightInd w:val="0"/>
        <w:snapToGrid w:val="0"/>
        <w:spacing w:line="360" w:lineRule="auto"/>
        <w:ind w:firstLine="560" w:firstLineChars="200"/>
        <w:rPr>
          <w:color w:val="000000"/>
        </w:rPr>
      </w:pPr>
      <w:r>
        <w:rPr>
          <w:rFonts w:hint="eastAsia"/>
          <w:color w:val="000000"/>
        </w:rPr>
        <w:t>最后一个运营年初，政府可行性缺口补助费用</w:t>
      </w:r>
      <w:r>
        <w:rPr>
          <w:color w:val="000000"/>
        </w:rPr>
        <w:t>=最后一个运营年可用性服务费的70%×</w:t>
      </w:r>
      <w:r>
        <w:rPr>
          <w:rFonts w:hint="eastAsia"/>
          <w:color w:val="000000"/>
        </w:rPr>
        <w:t>建设期绩效考核系数</w:t>
      </w:r>
      <w:r>
        <w:rPr>
          <w:color w:val="000000"/>
        </w:rPr>
        <w:t>+（倒数第二个运营年可用性服务费的30%+倒数第二个运营年的运维绩效服务费）*倒数第二年的运营绩效考核系数</w:t>
      </w:r>
      <w:r>
        <w:rPr>
          <w:rFonts w:hint="eastAsia"/>
          <w:color w:val="000000"/>
        </w:rPr>
        <w:t>－</w:t>
      </w:r>
      <w:r>
        <w:rPr>
          <w:color w:val="000000"/>
        </w:rPr>
        <w:t>倒数第二个运营年的使用者付费，</w:t>
      </w:r>
      <w:r>
        <w:rPr>
          <w:rFonts w:hint="eastAsia"/>
          <w:color w:val="000000"/>
        </w:rPr>
        <w:t>于项目进入最后一个运营年后项目公司申请之日起且在预算支付费用人大批复后</w:t>
      </w:r>
      <w:r>
        <w:rPr>
          <w:color w:val="000000"/>
        </w:rPr>
        <w:t>60个工作日内完成支付。</w:t>
      </w:r>
    </w:p>
    <w:p>
      <w:pPr>
        <w:spacing w:line="360" w:lineRule="auto"/>
      </w:pPr>
      <w:r>
        <w:rPr>
          <w:rFonts w:hint="eastAsia"/>
          <w:color w:val="000000"/>
        </w:rPr>
        <w:t>最后一年的运营维护费和倒数第二年的可用性付费的</w:t>
      </w:r>
      <w:r>
        <w:rPr>
          <w:color w:val="000000"/>
        </w:rPr>
        <w:t>30%=（倒数第二年的可用性服务费的30%+最后一年的运维绩效服务费）*最后一年的运营绩效考核系数</w:t>
      </w:r>
      <w:r>
        <w:rPr>
          <w:rFonts w:hint="eastAsia"/>
          <w:color w:val="000000"/>
        </w:rPr>
        <w:t>－</w:t>
      </w:r>
      <w:r>
        <w:rPr>
          <w:color w:val="000000"/>
        </w:rPr>
        <w:t>最后一个运营年的使用者付费，</w:t>
      </w:r>
      <w:r>
        <w:rPr>
          <w:rFonts w:hint="eastAsia"/>
          <w:color w:val="000000"/>
        </w:rPr>
        <w:t>于移交完毕之日后项目公司申报之日起算</w:t>
      </w:r>
      <w:r>
        <w:rPr>
          <w:color w:val="000000"/>
        </w:rPr>
        <w:t>60个工作日内完成支付。</w:t>
      </w:r>
    </w:p>
    <w:p>
      <w:pPr>
        <w:pStyle w:val="3"/>
        <w:ind w:firstLine="562"/>
        <w:rPr>
          <w:color w:val="000000" w:themeColor="text1"/>
          <w14:textFill>
            <w14:solidFill>
              <w14:schemeClr w14:val="tx1"/>
            </w14:solidFill>
          </w14:textFill>
        </w:rPr>
      </w:pPr>
      <w:bookmarkStart w:id="21" w:name="_Toc3974725"/>
      <w:r>
        <w:rPr>
          <w:rFonts w:hint="eastAsia"/>
          <w:color w:val="000000" w:themeColor="text1"/>
          <w14:textFill>
            <w14:solidFill>
              <w14:schemeClr w14:val="tx1"/>
            </w14:solidFill>
          </w14:textFill>
        </w:rPr>
        <w:t>8、合作期内的上级专项补贴/补助资金</w:t>
      </w:r>
      <w:bookmarkEnd w:id="21"/>
    </w:p>
    <w:p>
      <w:pPr>
        <w:tabs>
          <w:tab w:val="clear" w:pos="3261"/>
          <w:tab w:val="clear" w:pos="4536"/>
        </w:tabs>
        <w:adjustRightInd w:val="0"/>
        <w:snapToGrid w:val="0"/>
        <w:spacing w:line="360" w:lineRule="auto"/>
        <w:ind w:firstLine="560" w:firstLineChars="200"/>
        <w:rPr>
          <w:color w:val="000000"/>
        </w:rPr>
      </w:pPr>
      <w:r>
        <w:rPr>
          <w:rFonts w:hint="eastAsia"/>
          <w:color w:val="000000"/>
        </w:rPr>
        <w:t>《国家开发银行贷款河南省国家储备林项目资金管理办法（试行）》第六章</w:t>
      </w:r>
      <w:r>
        <w:rPr>
          <w:color w:val="000000"/>
        </w:rPr>
        <w:t>“</w:t>
      </w:r>
      <w:r>
        <w:rPr>
          <w:rFonts w:hint="eastAsia"/>
          <w:color w:val="000000"/>
        </w:rPr>
        <w:t>财政补贴资金</w:t>
      </w:r>
      <w:r>
        <w:rPr>
          <w:color w:val="000000"/>
        </w:rPr>
        <w:t>”</w:t>
      </w:r>
      <w:r>
        <w:rPr>
          <w:rFonts w:hint="eastAsia"/>
          <w:color w:val="000000"/>
        </w:rPr>
        <w:t>指出：国家储备林项目应享受国家营造林补贴及财政贴息政策，相关标准、申请及管理按照财政部、国家林业局《关于印发</w:t>
      </w:r>
      <w:r>
        <w:rPr>
          <w:color w:val="000000"/>
        </w:rPr>
        <w:t>&lt;</w:t>
      </w:r>
      <w:r>
        <w:rPr>
          <w:rFonts w:hint="eastAsia"/>
          <w:color w:val="000000"/>
        </w:rPr>
        <w:t>林业改革发展资金管理办法</w:t>
      </w:r>
      <w:r>
        <w:rPr>
          <w:color w:val="000000"/>
        </w:rPr>
        <w:t>&gt;</w:t>
      </w:r>
      <w:r>
        <w:rPr>
          <w:rFonts w:hint="eastAsia"/>
          <w:color w:val="000000"/>
        </w:rPr>
        <w:t>的通知》（财农</w:t>
      </w:r>
      <w:r>
        <w:rPr>
          <w:color w:val="000000"/>
        </w:rPr>
        <w:t>[2016]196</w:t>
      </w:r>
      <w:r>
        <w:rPr>
          <w:rFonts w:hint="eastAsia"/>
          <w:color w:val="000000"/>
        </w:rPr>
        <w:t>号）等规定执行；</w:t>
      </w:r>
    </w:p>
    <w:p>
      <w:pPr>
        <w:tabs>
          <w:tab w:val="clear" w:pos="3261"/>
          <w:tab w:val="clear" w:pos="4536"/>
        </w:tabs>
        <w:adjustRightInd w:val="0"/>
        <w:snapToGrid w:val="0"/>
        <w:spacing w:line="360" w:lineRule="auto"/>
        <w:ind w:firstLine="560" w:firstLineChars="200"/>
        <w:rPr>
          <w:color w:val="000000"/>
        </w:rPr>
      </w:pPr>
      <w:r>
        <w:rPr>
          <w:rFonts w:hint="eastAsia"/>
          <w:color w:val="000000"/>
        </w:rPr>
        <w:t>本项目作为国家储备林</w:t>
      </w:r>
      <w:r>
        <w:rPr>
          <w:color w:val="000000"/>
        </w:rPr>
        <w:t>PPP</w:t>
      </w:r>
      <w:r>
        <w:rPr>
          <w:rFonts w:hint="eastAsia"/>
          <w:color w:val="000000"/>
        </w:rPr>
        <w:t>项目，可以享受的政策支持包括但不限于中央投资补助、贷款贴息、森林保险保费补贴、森林生态效益补偿、林业补贴、森林公安补助、减免企业所得税等。</w:t>
      </w:r>
    </w:p>
    <w:p>
      <w:pPr>
        <w:tabs>
          <w:tab w:val="clear" w:pos="3261"/>
          <w:tab w:val="clear" w:pos="4536"/>
        </w:tabs>
        <w:adjustRightInd w:val="0"/>
        <w:snapToGrid w:val="0"/>
        <w:spacing w:line="360" w:lineRule="auto"/>
        <w:ind w:firstLine="560" w:firstLineChars="200"/>
        <w:rPr>
          <w:bCs/>
          <w:color w:val="000000"/>
        </w:rPr>
      </w:pPr>
      <w:r>
        <w:rPr>
          <w:rFonts w:hint="eastAsia"/>
          <w:bCs/>
          <w:color w:val="000000"/>
        </w:rPr>
        <w:t>财政部《关于印发</w:t>
      </w:r>
      <w:r>
        <w:rPr>
          <w:bCs/>
          <w:color w:val="000000"/>
        </w:rPr>
        <w:t>&lt;</w:t>
      </w:r>
      <w:r>
        <w:rPr>
          <w:rFonts w:hint="eastAsia"/>
          <w:bCs/>
          <w:color w:val="000000"/>
        </w:rPr>
        <w:t>基本建设贷款中央财政贴息资金管理办法</w:t>
      </w:r>
      <w:r>
        <w:rPr>
          <w:bCs/>
          <w:color w:val="000000"/>
        </w:rPr>
        <w:t>&gt;</w:t>
      </w:r>
      <w:r>
        <w:rPr>
          <w:rFonts w:hint="eastAsia"/>
          <w:bCs/>
          <w:color w:val="000000"/>
        </w:rPr>
        <w:t>的通知》（财建[</w:t>
      </w:r>
      <w:r>
        <w:rPr>
          <w:bCs/>
          <w:color w:val="000000"/>
        </w:rPr>
        <w:t>2012</w:t>
      </w:r>
      <w:r>
        <w:rPr>
          <w:rFonts w:hint="eastAsia"/>
          <w:bCs/>
          <w:color w:val="000000"/>
        </w:rPr>
        <w:t>]</w:t>
      </w:r>
      <w:r>
        <w:rPr>
          <w:bCs/>
          <w:color w:val="000000"/>
        </w:rPr>
        <w:t>95号）</w:t>
      </w:r>
      <w:r>
        <w:rPr>
          <w:rFonts w:hint="eastAsia"/>
          <w:bCs/>
          <w:color w:val="000000"/>
        </w:rPr>
        <w:t>指出：中央财政贴息资金是指中央财政预算安排的，专项用于基本建设贷款贴息的资金；根据国家的产业政策，确定农业、林业、水利等行业为贴息对象。</w:t>
      </w:r>
    </w:p>
    <w:p>
      <w:pPr>
        <w:tabs>
          <w:tab w:val="clear" w:pos="3261"/>
          <w:tab w:val="clear" w:pos="4536"/>
        </w:tabs>
        <w:adjustRightInd w:val="0"/>
        <w:snapToGrid w:val="0"/>
        <w:spacing w:line="360" w:lineRule="auto"/>
        <w:ind w:firstLine="560" w:firstLineChars="200"/>
        <w:rPr>
          <w:bCs/>
          <w:color w:val="000000"/>
        </w:rPr>
      </w:pPr>
      <w:r>
        <w:rPr>
          <w:bCs/>
          <w:color w:val="000000"/>
        </w:rPr>
        <w:t>《</w:t>
      </w:r>
      <w:r>
        <w:rPr>
          <w:rFonts w:hint="eastAsia"/>
          <w:bCs/>
          <w:color w:val="000000"/>
        </w:rPr>
        <w:t>财政部</w:t>
      </w:r>
      <w:r>
        <w:rPr>
          <w:bCs/>
          <w:color w:val="000000"/>
        </w:rPr>
        <w:t xml:space="preserve"> 国家林业局关于印发&lt;中央财政林业补助资金管理办法&gt;的通知》（财农[2014]9号）</w:t>
      </w:r>
      <w:r>
        <w:rPr>
          <w:rFonts w:hint="eastAsia"/>
          <w:bCs/>
          <w:color w:val="000000"/>
        </w:rPr>
        <w:t>指出：林业补贴是指用于林木良种培育、造林和森林抚育，湿地、林业国家级自然保护区和沙化土地封禁保护区建设与保护，林业防灾减灾，林业科技推广示范，林业贷款贴息等方面的支出；林业应按规定的用途和范围分配使用，任何部门和单位不得截留、挤占和挪用。</w:t>
      </w:r>
    </w:p>
    <w:p>
      <w:pPr>
        <w:tabs>
          <w:tab w:val="clear" w:pos="3261"/>
          <w:tab w:val="clear" w:pos="4536"/>
        </w:tabs>
        <w:adjustRightInd w:val="0"/>
        <w:snapToGrid w:val="0"/>
        <w:spacing w:line="360" w:lineRule="auto"/>
        <w:ind w:firstLine="560" w:firstLineChars="200"/>
        <w:rPr>
          <w:bCs/>
          <w:color w:val="000000"/>
        </w:rPr>
      </w:pPr>
      <w:r>
        <w:rPr>
          <w:rFonts w:hint="eastAsia"/>
          <w:bCs/>
          <w:color w:val="000000"/>
        </w:rPr>
        <w:t>《关于印发</w:t>
      </w:r>
      <w:r>
        <w:rPr>
          <w:bCs/>
          <w:color w:val="000000"/>
        </w:rPr>
        <w:t>&lt;林业改革发展资金管理办法&gt;的通知》（财农</w:t>
      </w:r>
      <w:r>
        <w:rPr>
          <w:rFonts w:hint="eastAsia"/>
          <w:bCs/>
          <w:color w:val="000000"/>
        </w:rPr>
        <w:t>[</w:t>
      </w:r>
      <w:r>
        <w:rPr>
          <w:bCs/>
          <w:color w:val="000000"/>
        </w:rPr>
        <w:t>2016</w:t>
      </w:r>
      <w:r>
        <w:rPr>
          <w:rFonts w:hint="eastAsia"/>
          <w:bCs/>
          <w:color w:val="000000"/>
        </w:rPr>
        <w:t>]</w:t>
      </w:r>
      <w:r>
        <w:rPr>
          <w:bCs/>
          <w:color w:val="000000"/>
        </w:rPr>
        <w:t>196号）</w:t>
      </w:r>
      <w:r>
        <w:rPr>
          <w:rFonts w:hint="eastAsia"/>
          <w:bCs/>
          <w:color w:val="000000"/>
        </w:rPr>
        <w:t>指出：林业改革发展资金是指中央财政预算安排的用于森林资源管护、森林资源培育、生态保护体系建设、国有林场改革、林业产业发展等支出方向的专项资金。林业贷款贴息采取一年一贴、据实贴息的方式，年贴息率为3%。对贴息年度（上一年度1月1日至12月31日）之内存续并正常付息的林业贷款，按实际贷款期限计算贴息。</w:t>
      </w:r>
    </w:p>
    <w:p>
      <w:pPr>
        <w:tabs>
          <w:tab w:val="clear" w:pos="3261"/>
          <w:tab w:val="clear" w:pos="4536"/>
        </w:tabs>
        <w:adjustRightInd w:val="0"/>
        <w:snapToGrid w:val="0"/>
        <w:spacing w:line="360" w:lineRule="auto"/>
        <w:ind w:firstLine="560" w:firstLineChars="200"/>
        <w:rPr>
          <w:bCs/>
          <w:color w:val="000000"/>
        </w:rPr>
      </w:pPr>
      <w:r>
        <w:rPr>
          <w:rFonts w:hint="eastAsia"/>
          <w:bCs/>
          <w:color w:val="000000"/>
        </w:rPr>
        <w:t>《国家开发银行贷款河南省国家储备林项目资金管理办法（试行）》（豫林产[2017]</w:t>
      </w:r>
      <w:r>
        <w:rPr>
          <w:bCs/>
          <w:color w:val="000000"/>
        </w:rPr>
        <w:t>70号</w:t>
      </w:r>
      <w:r>
        <w:rPr>
          <w:rFonts w:hint="eastAsia"/>
          <w:bCs/>
          <w:color w:val="000000"/>
        </w:rPr>
        <w:t>）指出：贴息资金应用于偿还贷款本息</w:t>
      </w:r>
      <w:r>
        <w:rPr>
          <w:bCs/>
          <w:color w:val="000000"/>
        </w:rPr>
        <w:t>。</w:t>
      </w:r>
    </w:p>
    <w:p>
      <w:pPr>
        <w:tabs>
          <w:tab w:val="clear" w:pos="3261"/>
          <w:tab w:val="clear" w:pos="4536"/>
        </w:tabs>
        <w:adjustRightInd w:val="0"/>
        <w:snapToGrid w:val="0"/>
        <w:spacing w:line="360" w:lineRule="auto"/>
        <w:ind w:firstLine="560" w:firstLineChars="200"/>
        <w:rPr>
          <w:bCs/>
          <w:color w:val="000000"/>
        </w:rPr>
      </w:pPr>
      <w:r>
        <w:rPr>
          <w:rFonts w:hint="eastAsia"/>
          <w:bCs/>
          <w:color w:val="000000"/>
        </w:rPr>
        <w:t>根据《关于印发</w:t>
      </w:r>
      <w:r>
        <w:rPr>
          <w:bCs/>
          <w:color w:val="000000"/>
        </w:rPr>
        <w:t>&lt;河南省林业贷款财政贴息资金管理实施细则&gt;</w:t>
      </w:r>
    </w:p>
    <w:p>
      <w:pPr>
        <w:tabs>
          <w:tab w:val="clear" w:pos="3261"/>
          <w:tab w:val="clear" w:pos="4536"/>
        </w:tabs>
        <w:adjustRightInd w:val="0"/>
        <w:snapToGrid w:val="0"/>
        <w:spacing w:line="360" w:lineRule="auto"/>
        <w:ind w:firstLine="0" w:firstLineChars="0"/>
        <w:rPr>
          <w:bCs/>
          <w:color w:val="000000"/>
        </w:rPr>
      </w:pPr>
      <w:r>
        <w:rPr>
          <w:rFonts w:hint="eastAsia"/>
          <w:bCs/>
          <w:color w:val="000000"/>
        </w:rPr>
        <w:t>的通知》，本细则所指贴息资金是中央财政和省级财政预算安排的，对林业贷款给予一定期限和比例的利息补贴。第五条，凡符合本细则规定的林业贷款，财政年贴息率为4％，其中：中央财政年贴息率为3％，省级财政年贴息率为1％。市、县财政可视财力状况给予相应的贴息资金配套。</w:t>
      </w:r>
    </w:p>
    <w:p>
      <w:pPr>
        <w:spacing w:line="360" w:lineRule="auto"/>
        <w:rPr>
          <w:color w:val="000000" w:themeColor="text1"/>
          <w14:textFill>
            <w14:solidFill>
              <w14:schemeClr w14:val="tx1"/>
            </w14:solidFill>
          </w14:textFill>
        </w:rPr>
      </w:pPr>
      <w:r>
        <w:rPr>
          <w:rFonts w:hint="eastAsia"/>
          <w:bCs/>
          <w:color w:val="000000"/>
        </w:rPr>
        <w:t>通过上述贴息方式进行初步测算，本项目合作期内预计可获取中央及省贴息补助约</w:t>
      </w:r>
      <w:r>
        <w:rPr>
          <w:bCs/>
          <w:color w:val="000000"/>
        </w:rPr>
        <w:t>92795.91万元，其中建设期为21941.51万元，运</w:t>
      </w:r>
      <w:r>
        <w:rPr>
          <w:rFonts w:hint="eastAsia"/>
          <w:bCs/>
          <w:color w:val="000000"/>
        </w:rPr>
        <w:t>营期为</w:t>
      </w:r>
      <w:r>
        <w:rPr>
          <w:bCs/>
          <w:color w:val="000000"/>
        </w:rPr>
        <w:t>70854.40万元（具体</w:t>
      </w:r>
      <w:r>
        <w:rPr>
          <w:rFonts w:hint="eastAsia"/>
          <w:bCs/>
          <w:color w:val="000000"/>
        </w:rPr>
        <w:t>金额以届时</w:t>
      </w:r>
      <w:r>
        <w:rPr>
          <w:bCs/>
          <w:color w:val="000000"/>
        </w:rPr>
        <w:t>贴息政策为准）</w:t>
      </w:r>
      <w:r>
        <w:rPr>
          <w:rFonts w:hint="eastAsia"/>
          <w:bCs/>
          <w:color w:val="000000"/>
        </w:rPr>
        <w:t>。</w:t>
      </w:r>
      <w:r>
        <w:rPr>
          <w:bCs/>
          <w:color w:val="000000"/>
        </w:rPr>
        <w:t>项目建设期专项补贴扣减项目总投资</w:t>
      </w:r>
      <w:r>
        <w:rPr>
          <w:rFonts w:hint="eastAsia"/>
          <w:bCs/>
          <w:color w:val="000000"/>
        </w:rPr>
        <w:t>，</w:t>
      </w:r>
      <w:r>
        <w:rPr>
          <w:bCs/>
          <w:color w:val="000000"/>
        </w:rPr>
        <w:t>运营期抵减政府缺口补助。</w:t>
      </w:r>
    </w:p>
    <w:p>
      <w:pPr>
        <w:pStyle w:val="3"/>
        <w:ind w:firstLine="562"/>
        <w:rPr>
          <w:color w:val="000000" w:themeColor="text1"/>
          <w14:textFill>
            <w14:solidFill>
              <w14:schemeClr w14:val="tx1"/>
            </w14:solidFill>
          </w14:textFill>
        </w:rPr>
      </w:pPr>
      <w:bookmarkStart w:id="22" w:name="_Toc3974726"/>
      <w:r>
        <w:rPr>
          <w:rFonts w:hint="eastAsia"/>
          <w:color w:val="000000" w:themeColor="text1"/>
          <w14:textFill>
            <w14:solidFill>
              <w14:schemeClr w14:val="tx1"/>
            </w14:solidFill>
          </w14:textFill>
        </w:rPr>
        <w:t>9、调价机制</w:t>
      </w:r>
      <w:bookmarkEnd w:id="22"/>
    </w:p>
    <w:p>
      <w:pPr>
        <w:tabs>
          <w:tab w:val="clear" w:pos="3261"/>
          <w:tab w:val="clear" w:pos="4536"/>
        </w:tabs>
        <w:adjustRightInd w:val="0"/>
        <w:snapToGrid w:val="0"/>
        <w:spacing w:line="360" w:lineRule="auto"/>
        <w:ind w:firstLine="560" w:firstLineChars="200"/>
        <w:rPr>
          <w:color w:val="000000"/>
        </w:rPr>
      </w:pPr>
      <w:r>
        <w:rPr>
          <w:color w:val="000000"/>
        </w:rPr>
        <w:t>1、</w:t>
      </w:r>
      <w:r>
        <w:rPr>
          <w:rFonts w:hint="eastAsia"/>
          <w:color w:val="000000"/>
        </w:rPr>
        <w:t>本项目</w:t>
      </w:r>
      <w:bookmarkStart w:id="23" w:name="_Hlk518375467"/>
      <w:r>
        <w:rPr>
          <w:rFonts w:hint="eastAsia"/>
          <w:color w:val="000000"/>
        </w:rPr>
        <w:t>可用性服务费建设期结束经审计确认总投资后除中国人民银行公布的五年期以上贷款基准利率调整外不再做变更</w:t>
      </w:r>
      <w:bookmarkEnd w:id="23"/>
      <w:r>
        <w:rPr>
          <w:rFonts w:hint="eastAsia"/>
          <w:color w:val="000000"/>
        </w:rPr>
        <w:t>。</w:t>
      </w:r>
    </w:p>
    <w:p>
      <w:pPr>
        <w:tabs>
          <w:tab w:val="clear" w:pos="3261"/>
          <w:tab w:val="clear" w:pos="4536"/>
        </w:tabs>
        <w:adjustRightInd w:val="0"/>
        <w:snapToGrid w:val="0"/>
        <w:spacing w:line="360" w:lineRule="auto"/>
        <w:ind w:firstLine="560" w:firstLineChars="200"/>
        <w:rPr>
          <w:color w:val="000000"/>
        </w:rPr>
      </w:pPr>
      <w:r>
        <w:rPr>
          <w:rFonts w:hint="eastAsia"/>
          <w:color w:val="000000"/>
        </w:rPr>
        <w:t>在项目运营期内以《PPP项目合同》生效日或上一次调价后的中国人民银行颁布的五年期以上贷款基准利率作为基准，本项目设定项目公司承担的利率风险区间为参照基年5年期以上银行贷款基准利率上下浮动5%范围内。当银行贷款基准利率变动幅度超过5%时并持续</w:t>
      </w:r>
      <w:r>
        <w:rPr>
          <w:color w:val="000000"/>
        </w:rPr>
        <w:t>3</w:t>
      </w:r>
      <w:r>
        <w:rPr>
          <w:rFonts w:hint="eastAsia"/>
          <w:color w:val="000000"/>
        </w:rPr>
        <w:t>个月（包括跨年持续</w:t>
      </w:r>
      <w:r>
        <w:rPr>
          <w:color w:val="000000"/>
        </w:rPr>
        <w:t>3</w:t>
      </w:r>
      <w:r>
        <w:rPr>
          <w:rFonts w:hint="eastAsia"/>
          <w:color w:val="000000"/>
        </w:rPr>
        <w:t>个月），则在持续</w:t>
      </w:r>
      <w:r>
        <w:rPr>
          <w:color w:val="000000"/>
        </w:rPr>
        <w:t>3</w:t>
      </w:r>
      <w:r>
        <w:rPr>
          <w:rFonts w:hint="eastAsia"/>
          <w:color w:val="000000"/>
        </w:rPr>
        <w:t>个月后启动调价机制，政府对超出部分对可行性缺口补助进行补偿或扣减。</w:t>
      </w:r>
    </w:p>
    <w:p>
      <w:pPr>
        <w:tabs>
          <w:tab w:val="clear" w:pos="3261"/>
          <w:tab w:val="clear" w:pos="4536"/>
        </w:tabs>
        <w:adjustRightInd w:val="0"/>
        <w:snapToGrid w:val="0"/>
        <w:spacing w:line="360" w:lineRule="auto"/>
        <w:ind w:firstLine="560" w:firstLineChars="200"/>
        <w:rPr>
          <w:color w:val="000000"/>
        </w:rPr>
      </w:pPr>
      <w:r>
        <w:rPr>
          <w:color w:val="000000"/>
        </w:rPr>
        <w:t>2、运维绩效服务费将根据运营维护期间的通货膨胀情况，主要是指</w:t>
      </w:r>
      <w:r>
        <w:rPr>
          <w:rFonts w:hint="eastAsia"/>
          <w:color w:val="000000"/>
        </w:rPr>
        <w:t>人员工资</w:t>
      </w:r>
      <w:r>
        <w:rPr>
          <w:color w:val="000000"/>
        </w:rPr>
        <w:t>、</w:t>
      </w:r>
      <w:r>
        <w:rPr>
          <w:rFonts w:hint="eastAsia"/>
          <w:color w:val="000000"/>
        </w:rPr>
        <w:t>燃料及动力费</w:t>
      </w:r>
      <w:r>
        <w:rPr>
          <w:color w:val="000000"/>
        </w:rPr>
        <w:t>、苗木价格、抚育费等，设定相应的调价机制，初定如下：</w:t>
      </w:r>
    </w:p>
    <w:p>
      <w:pPr>
        <w:tabs>
          <w:tab w:val="clear" w:pos="3261"/>
          <w:tab w:val="clear" w:pos="4536"/>
        </w:tabs>
        <w:adjustRightInd w:val="0"/>
        <w:snapToGrid w:val="0"/>
        <w:spacing w:line="360" w:lineRule="auto"/>
        <w:ind w:firstLine="560" w:firstLineChars="200"/>
        <w:rPr>
          <w:color w:val="000000"/>
        </w:rPr>
      </w:pPr>
      <w:r>
        <w:rPr>
          <w:color w:val="000000"/>
        </w:rPr>
        <w:t>运维维护费调整机制：原则上每三年核算调整一次，经监管方协调有关部门审核后报批执行。</w:t>
      </w:r>
    </w:p>
    <w:p>
      <w:pPr>
        <w:tabs>
          <w:tab w:val="clear" w:pos="3261"/>
          <w:tab w:val="clear" w:pos="4536"/>
        </w:tabs>
        <w:adjustRightInd w:val="0"/>
        <w:snapToGrid w:val="0"/>
        <w:spacing w:line="360" w:lineRule="auto"/>
        <w:ind w:firstLine="560" w:firstLineChars="200"/>
        <w:rPr>
          <w:color w:val="000000"/>
        </w:rPr>
      </w:pPr>
      <w:r>
        <w:rPr>
          <w:color w:val="000000"/>
        </w:rPr>
        <w:t>自项目开始正式运营之日起，若人工成本、苗木价格、居民消费价格指数三项因素变化导致调价的基准运营维护成本变化幅度合计超过</w:t>
      </w:r>
      <w:r>
        <w:rPr>
          <w:rFonts w:hint="eastAsia"/>
          <w:color w:val="000000"/>
        </w:rPr>
        <w:t>±</w:t>
      </w:r>
      <w:r>
        <w:rPr>
          <w:color w:val="000000"/>
        </w:rPr>
        <w:t>5%的，项目公司可申请调整运营维护成本。</w:t>
      </w:r>
    </w:p>
    <w:p>
      <w:pPr>
        <w:tabs>
          <w:tab w:val="clear" w:pos="3261"/>
          <w:tab w:val="clear" w:pos="4536"/>
        </w:tabs>
        <w:adjustRightInd w:val="0"/>
        <w:snapToGrid w:val="0"/>
        <w:spacing w:line="360" w:lineRule="auto"/>
        <w:ind w:firstLine="560" w:firstLineChars="200"/>
        <w:jc w:val="center"/>
        <w:rPr>
          <w:color w:val="000000"/>
        </w:rPr>
      </w:pPr>
      <w:r>
        <w:rPr>
          <w:color w:val="000000"/>
        </w:rPr>
        <w:t>K=a×（L</w:t>
      </w:r>
      <w:r>
        <w:rPr>
          <w:color w:val="000000"/>
          <w:vertAlign w:val="subscript"/>
        </w:rPr>
        <w:t>n</w:t>
      </w:r>
      <w:r>
        <w:rPr>
          <w:color w:val="000000"/>
        </w:rPr>
        <w:t>/L</w:t>
      </w:r>
      <w:r>
        <w:rPr>
          <w:color w:val="000000"/>
          <w:vertAlign w:val="subscript"/>
        </w:rPr>
        <w:t>n-3</w:t>
      </w:r>
      <w:r>
        <w:rPr>
          <w:color w:val="000000"/>
        </w:rPr>
        <w:t>）+b×（E</w:t>
      </w:r>
      <w:r>
        <w:rPr>
          <w:color w:val="000000"/>
          <w:vertAlign w:val="subscript"/>
        </w:rPr>
        <w:t>n</w:t>
      </w:r>
      <w:r>
        <w:rPr>
          <w:color w:val="000000"/>
        </w:rPr>
        <w:t>/E</w:t>
      </w:r>
      <w:r>
        <w:rPr>
          <w:color w:val="000000"/>
          <w:vertAlign w:val="subscript"/>
        </w:rPr>
        <w:t>n-3</w:t>
      </w:r>
      <w:r>
        <w:rPr>
          <w:color w:val="000000"/>
        </w:rPr>
        <w:t>）+d×（CPI</w:t>
      </w:r>
      <w:r>
        <w:rPr>
          <w:color w:val="000000"/>
          <w:vertAlign w:val="subscript"/>
        </w:rPr>
        <w:t>n</w:t>
      </w:r>
      <w:r>
        <w:rPr>
          <w:color w:val="000000"/>
        </w:rPr>
        <w:t>×CPI</w:t>
      </w:r>
      <w:r>
        <w:rPr>
          <w:color w:val="000000"/>
          <w:vertAlign w:val="subscript"/>
        </w:rPr>
        <w:t>n-1</w:t>
      </w:r>
      <w:r>
        <w:rPr>
          <w:color w:val="000000"/>
        </w:rPr>
        <w:t>×CPI</w:t>
      </w:r>
      <w:r>
        <w:rPr>
          <w:color w:val="000000"/>
          <w:vertAlign w:val="subscript"/>
        </w:rPr>
        <w:t>n-2</w:t>
      </w:r>
      <w:r>
        <w:rPr>
          <w:color w:val="000000"/>
        </w:rPr>
        <w:t>）</w:t>
      </w:r>
      <w:r>
        <w:rPr>
          <w:rFonts w:hint="eastAsia"/>
          <w:color w:val="000000"/>
        </w:rPr>
        <w:t>/</w:t>
      </w:r>
      <w:r>
        <w:rPr>
          <w:color w:val="000000"/>
        </w:rPr>
        <w:t>10</w:t>
      </w:r>
      <w:r>
        <w:rPr>
          <w:color w:val="000000"/>
          <w:vertAlign w:val="superscript"/>
        </w:rPr>
        <w:t>-6</w:t>
      </w:r>
    </w:p>
    <w:p>
      <w:pPr>
        <w:numPr>
          <w:ilvl w:val="0"/>
          <w:numId w:val="8"/>
        </w:numPr>
        <w:tabs>
          <w:tab w:val="clear" w:pos="3261"/>
          <w:tab w:val="clear" w:pos="4536"/>
        </w:tabs>
        <w:adjustRightInd w:val="0"/>
        <w:snapToGrid w:val="0"/>
        <w:spacing w:line="360" w:lineRule="auto"/>
        <w:ind w:firstLine="560" w:firstLineChars="200"/>
        <w:rPr>
          <w:color w:val="000000"/>
        </w:rPr>
      </w:pPr>
      <w:r>
        <w:rPr>
          <w:color w:val="000000"/>
        </w:rPr>
        <w:t>P</w:t>
      </w:r>
      <w:r>
        <w:rPr>
          <w:color w:val="000000"/>
          <w:vertAlign w:val="subscript"/>
        </w:rPr>
        <w:t>n</w:t>
      </w:r>
      <w:r>
        <w:rPr>
          <w:color w:val="000000"/>
        </w:rPr>
        <w:t>=P</w:t>
      </w:r>
      <w:r>
        <w:rPr>
          <w:color w:val="000000"/>
          <w:vertAlign w:val="subscript"/>
        </w:rPr>
        <w:t>n-3</w:t>
      </w:r>
      <w:r>
        <w:rPr>
          <w:color w:val="000000"/>
        </w:rPr>
        <w:t>×K</w:t>
      </w:r>
    </w:p>
    <w:p>
      <w:pPr>
        <w:numPr>
          <w:ilvl w:val="0"/>
          <w:numId w:val="8"/>
        </w:numPr>
        <w:tabs>
          <w:tab w:val="clear" w:pos="3261"/>
          <w:tab w:val="clear" w:pos="4536"/>
        </w:tabs>
        <w:adjustRightInd w:val="0"/>
        <w:snapToGrid w:val="0"/>
        <w:spacing w:line="360" w:lineRule="auto"/>
        <w:ind w:firstLine="560" w:firstLineChars="200"/>
        <w:rPr>
          <w:color w:val="000000"/>
        </w:rPr>
      </w:pPr>
      <w:r>
        <w:rPr>
          <w:color w:val="000000"/>
        </w:rPr>
        <w:t>P</w:t>
      </w:r>
      <w:r>
        <w:rPr>
          <w:color w:val="000000"/>
          <w:vertAlign w:val="subscript"/>
        </w:rPr>
        <w:t>n</w:t>
      </w:r>
      <w:r>
        <w:rPr>
          <w:color w:val="000000"/>
        </w:rPr>
        <w:t>为第n年调整后的运营维护成本；</w:t>
      </w:r>
    </w:p>
    <w:p>
      <w:pPr>
        <w:numPr>
          <w:ilvl w:val="0"/>
          <w:numId w:val="8"/>
        </w:numPr>
        <w:tabs>
          <w:tab w:val="clear" w:pos="3261"/>
          <w:tab w:val="clear" w:pos="4536"/>
        </w:tabs>
        <w:adjustRightInd w:val="0"/>
        <w:snapToGrid w:val="0"/>
        <w:spacing w:line="360" w:lineRule="auto"/>
        <w:ind w:firstLine="560" w:firstLineChars="200"/>
        <w:rPr>
          <w:color w:val="000000"/>
        </w:rPr>
      </w:pPr>
      <w:r>
        <w:rPr>
          <w:color w:val="000000"/>
        </w:rPr>
        <w:t>P</w:t>
      </w:r>
      <w:r>
        <w:rPr>
          <w:color w:val="000000"/>
          <w:vertAlign w:val="subscript"/>
        </w:rPr>
        <w:t>n-3</w:t>
      </w:r>
      <w:r>
        <w:rPr>
          <w:color w:val="000000"/>
        </w:rPr>
        <w:t>为调整前的运营维护成本；</w:t>
      </w:r>
    </w:p>
    <w:p>
      <w:pPr>
        <w:numPr>
          <w:ilvl w:val="0"/>
          <w:numId w:val="8"/>
        </w:numPr>
        <w:tabs>
          <w:tab w:val="clear" w:pos="3261"/>
          <w:tab w:val="clear" w:pos="4536"/>
        </w:tabs>
        <w:adjustRightInd w:val="0"/>
        <w:snapToGrid w:val="0"/>
        <w:spacing w:line="360" w:lineRule="auto"/>
        <w:ind w:firstLine="560" w:firstLineChars="200"/>
        <w:rPr>
          <w:color w:val="000000"/>
        </w:rPr>
      </w:pPr>
      <w:r>
        <w:rPr>
          <w:color w:val="000000"/>
        </w:rPr>
        <w:t>K为调价系数；</w:t>
      </w:r>
    </w:p>
    <w:p>
      <w:pPr>
        <w:numPr>
          <w:ilvl w:val="0"/>
          <w:numId w:val="8"/>
        </w:numPr>
        <w:tabs>
          <w:tab w:val="clear" w:pos="3261"/>
          <w:tab w:val="clear" w:pos="4536"/>
        </w:tabs>
        <w:adjustRightInd w:val="0"/>
        <w:snapToGrid w:val="0"/>
        <w:spacing w:line="360" w:lineRule="auto"/>
        <w:ind w:firstLine="560" w:firstLineChars="200"/>
        <w:rPr>
          <w:color w:val="000000"/>
        </w:rPr>
      </w:pPr>
      <w:r>
        <w:rPr>
          <w:color w:val="000000"/>
        </w:rPr>
        <w:t>n指第n年是调整运营维护成本的当年。</w:t>
      </w:r>
    </w:p>
    <w:p>
      <w:pPr>
        <w:spacing w:line="360" w:lineRule="auto"/>
        <w:ind w:firstLine="560" w:firstLineChars="200"/>
        <w:rPr>
          <w:color w:val="000000"/>
        </w:rPr>
      </w:pPr>
      <w:r>
        <w:rPr>
          <w:color w:val="000000"/>
        </w:rPr>
        <w:t>在调整时，K的取值应大于等于1.05或小于等于0.95。其中，a+b+d=1，a是人工成本在</w:t>
      </w:r>
      <w:r>
        <w:rPr>
          <w:rFonts w:hint="eastAsia"/>
          <w:color w:val="000000"/>
          <w:kern w:val="0"/>
        </w:rPr>
        <w:t>运营期第一年基准运营成本</w:t>
      </w:r>
      <w:r>
        <w:rPr>
          <w:color w:val="000000"/>
        </w:rPr>
        <w:t>中所占的比例；b是材料成本在</w:t>
      </w:r>
      <w:r>
        <w:rPr>
          <w:rFonts w:hint="eastAsia"/>
          <w:color w:val="000000"/>
          <w:kern w:val="0"/>
        </w:rPr>
        <w:t>运营期第一年基准运营成本</w:t>
      </w:r>
      <w:r>
        <w:rPr>
          <w:color w:val="000000"/>
        </w:rPr>
        <w:t>中所占的比例；d是</w:t>
      </w:r>
      <w:r>
        <w:rPr>
          <w:rFonts w:hint="eastAsia"/>
          <w:color w:val="000000"/>
        </w:rPr>
        <w:t>指</w:t>
      </w:r>
      <w:r>
        <w:rPr>
          <w:rFonts w:hint="eastAsia"/>
          <w:color w:val="000000"/>
          <w:kern w:val="0"/>
        </w:rPr>
        <w:t>运营期第一年基准</w:t>
      </w:r>
      <w:r>
        <w:rPr>
          <w:color w:val="000000"/>
        </w:rPr>
        <w:t>运营维护成本中除材料成本和人工费用以外的其他因素在初始运营维护成本中所占的比例；L</w:t>
      </w:r>
      <w:r>
        <w:rPr>
          <w:color w:val="000000"/>
          <w:vertAlign w:val="subscript"/>
        </w:rPr>
        <w:t>n</w:t>
      </w:r>
      <w:r>
        <w:rPr>
          <w:color w:val="000000"/>
        </w:rPr>
        <w:t>指在第n年平顶山市统计局公布的</w:t>
      </w:r>
      <w:r>
        <w:rPr>
          <w:rFonts w:hint="eastAsia"/>
          <w:color w:val="000000"/>
        </w:rPr>
        <w:t>第n</w:t>
      </w:r>
      <w:r>
        <w:rPr>
          <w:color w:val="000000"/>
        </w:rPr>
        <w:t>-1</w:t>
      </w:r>
      <w:r>
        <w:rPr>
          <w:rFonts w:hint="eastAsia"/>
          <w:color w:val="000000"/>
        </w:rPr>
        <w:t>年</w:t>
      </w:r>
      <w:r>
        <w:rPr>
          <w:color w:val="000000"/>
        </w:rPr>
        <w:t>在岗职工平均工资；L</w:t>
      </w:r>
      <w:r>
        <w:rPr>
          <w:color w:val="000000"/>
          <w:vertAlign w:val="subscript"/>
        </w:rPr>
        <w:t>n-3</w:t>
      </w:r>
      <w:r>
        <w:rPr>
          <w:color w:val="000000"/>
        </w:rPr>
        <w:t>指在第n-3年平顶山市统计局公布的</w:t>
      </w:r>
      <w:r>
        <w:rPr>
          <w:rFonts w:hint="eastAsia"/>
          <w:color w:val="000000"/>
        </w:rPr>
        <w:t>第n</w:t>
      </w:r>
      <w:r>
        <w:rPr>
          <w:color w:val="000000"/>
        </w:rPr>
        <w:t>-4</w:t>
      </w:r>
      <w:r>
        <w:rPr>
          <w:rFonts w:hint="eastAsia"/>
          <w:color w:val="000000"/>
        </w:rPr>
        <w:t>年</w:t>
      </w:r>
      <w:r>
        <w:rPr>
          <w:color w:val="000000"/>
        </w:rPr>
        <w:t>在岗职工平均工资；E</w:t>
      </w:r>
      <w:r>
        <w:rPr>
          <w:color w:val="000000"/>
          <w:vertAlign w:val="subscript"/>
        </w:rPr>
        <w:t>n</w:t>
      </w:r>
      <w:r>
        <w:rPr>
          <w:color w:val="000000"/>
        </w:rPr>
        <w:t>指在第n年适用的苗木价格；E</w:t>
      </w:r>
      <w:r>
        <w:rPr>
          <w:color w:val="000000"/>
          <w:vertAlign w:val="subscript"/>
        </w:rPr>
        <w:t>n-3</w:t>
      </w:r>
      <w:r>
        <w:rPr>
          <w:color w:val="000000"/>
        </w:rPr>
        <w:t>指在第n-3年适用的苗木价格；CPI</w:t>
      </w:r>
      <w:r>
        <w:rPr>
          <w:color w:val="000000"/>
          <w:vertAlign w:val="subscript"/>
        </w:rPr>
        <w:t>n</w:t>
      </w:r>
      <w:r>
        <w:rPr>
          <w:color w:val="000000"/>
        </w:rPr>
        <w:t>指</w:t>
      </w:r>
      <w:r>
        <w:rPr>
          <w:rFonts w:hint="eastAsia"/>
          <w:color w:val="000000"/>
        </w:rPr>
        <w:t>平顶山市统计</w:t>
      </w:r>
      <w:r>
        <w:rPr>
          <w:color w:val="000000"/>
        </w:rPr>
        <w:t>局公布的在第n年获知的第n-1年的居民消费价格指数（</w:t>
      </w:r>
      <w:r>
        <w:rPr>
          <w:rFonts w:hint="eastAsia"/>
          <w:color w:val="000000"/>
        </w:rPr>
        <w:t>上年</w:t>
      </w:r>
      <w:r>
        <w:rPr>
          <w:color w:val="000000"/>
        </w:rPr>
        <w:t>=100），CPI</w:t>
      </w:r>
      <w:r>
        <w:rPr>
          <w:color w:val="000000"/>
          <w:vertAlign w:val="subscript"/>
        </w:rPr>
        <w:t>n-1</w:t>
      </w:r>
      <w:r>
        <w:rPr>
          <w:color w:val="000000"/>
        </w:rPr>
        <w:t>指</w:t>
      </w:r>
      <w:r>
        <w:rPr>
          <w:rFonts w:hint="eastAsia"/>
          <w:color w:val="000000"/>
        </w:rPr>
        <w:t>平顶山市统计</w:t>
      </w:r>
      <w:r>
        <w:rPr>
          <w:color w:val="000000"/>
        </w:rPr>
        <w:t>局公布的在第n-2年的居民消费价格指数（</w:t>
      </w:r>
      <w:r>
        <w:rPr>
          <w:rFonts w:hint="eastAsia"/>
          <w:color w:val="000000"/>
        </w:rPr>
        <w:t>上年</w:t>
      </w:r>
      <w:r>
        <w:rPr>
          <w:color w:val="000000"/>
        </w:rPr>
        <w:t>=100），CPI</w:t>
      </w:r>
      <w:r>
        <w:rPr>
          <w:color w:val="000000"/>
          <w:vertAlign w:val="subscript"/>
        </w:rPr>
        <w:t>n-2</w:t>
      </w:r>
      <w:r>
        <w:rPr>
          <w:color w:val="000000"/>
        </w:rPr>
        <w:t>指</w:t>
      </w:r>
      <w:r>
        <w:rPr>
          <w:rFonts w:hint="eastAsia"/>
          <w:color w:val="000000"/>
        </w:rPr>
        <w:t>平顶山市统计</w:t>
      </w:r>
      <w:r>
        <w:rPr>
          <w:color w:val="000000"/>
        </w:rPr>
        <w:t>局公布的在第n-3年的居民消费价格指数（</w:t>
      </w:r>
      <w:r>
        <w:rPr>
          <w:rFonts w:hint="eastAsia"/>
          <w:color w:val="000000"/>
        </w:rPr>
        <w:t>上年</w:t>
      </w:r>
      <w:r>
        <w:rPr>
          <w:color w:val="000000"/>
        </w:rPr>
        <w:t>=100）。本测算中以运营成本</w:t>
      </w:r>
      <w:r>
        <w:rPr>
          <w:rFonts w:hint="eastAsia"/>
          <w:color w:val="000000"/>
        </w:rPr>
        <w:t>在合作期内</w:t>
      </w:r>
      <w:r>
        <w:rPr>
          <w:color w:val="000000"/>
        </w:rPr>
        <w:t>不调整为测算假设。</w:t>
      </w:r>
    </w:p>
    <w:p>
      <w:pPr>
        <w:pStyle w:val="3"/>
        <w:ind w:firstLine="562"/>
        <w:rPr>
          <w:color w:val="000000" w:themeColor="text1"/>
          <w14:textFill>
            <w14:solidFill>
              <w14:schemeClr w14:val="tx1"/>
            </w14:solidFill>
          </w14:textFill>
        </w:rPr>
      </w:pPr>
      <w:bookmarkStart w:id="24" w:name="_Toc3974727"/>
      <w:r>
        <w:rPr>
          <w:rFonts w:hint="eastAsia"/>
          <w:color w:val="000000" w:themeColor="text1"/>
          <w14:textFill>
            <w14:solidFill>
              <w14:schemeClr w14:val="tx1"/>
            </w14:solidFill>
          </w14:textFill>
        </w:rPr>
        <w:t>10、超额收益分配机制</w:t>
      </w:r>
      <w:bookmarkEnd w:id="24"/>
    </w:p>
    <w:p>
      <w:pPr>
        <w:tabs>
          <w:tab w:val="clear" w:pos="3261"/>
          <w:tab w:val="clear" w:pos="4536"/>
        </w:tabs>
        <w:spacing w:line="360" w:lineRule="auto"/>
        <w:ind w:firstLine="560" w:firstLineChars="200"/>
        <w:rPr>
          <w:bCs/>
          <w:color w:val="000000"/>
        </w:rPr>
      </w:pPr>
      <w:r>
        <w:rPr>
          <w:rFonts w:hint="eastAsia"/>
          <w:color w:val="000000"/>
        </w:rPr>
        <w:t>根据本项目的使用者付费确定机制，项目公司的使用者付费收入主要包括林木采伐、绿化苗木出售、林果产品等。</w:t>
      </w:r>
      <w:r>
        <w:rPr>
          <w:rFonts w:hint="eastAsia"/>
          <w:bCs/>
          <w:color w:val="000000"/>
        </w:rPr>
        <w:t>为鼓励项目公司在围绕发展国储林+林下经济、运动休闲、亲子教育、生态旅游、健康养生等林园综合体的定位，增加项目收益，降低政府支出责任，提高项目公司运营的积极性，设置项目超额收益分配机制。</w:t>
      </w:r>
    </w:p>
    <w:p>
      <w:pPr>
        <w:tabs>
          <w:tab w:val="clear" w:pos="3261"/>
          <w:tab w:val="clear" w:pos="4536"/>
        </w:tabs>
        <w:spacing w:line="360" w:lineRule="auto"/>
        <w:ind w:firstLine="560" w:firstLineChars="200"/>
        <w:rPr>
          <w:color w:val="000000"/>
        </w:rPr>
      </w:pPr>
      <w:r>
        <w:rPr>
          <w:rFonts w:hint="eastAsia"/>
          <w:color w:val="000000"/>
        </w:rPr>
        <w:t>项目建设期内，经审计确认后所产生的收入扣除相关采摘、</w:t>
      </w:r>
      <w:r>
        <w:rPr>
          <w:rFonts w:hint="eastAsia"/>
          <w:bCs/>
          <w:color w:val="000000"/>
        </w:rPr>
        <w:t>运输、</w:t>
      </w:r>
      <w:r>
        <w:rPr>
          <w:rFonts w:hint="eastAsia"/>
          <w:color w:val="000000"/>
        </w:rPr>
        <w:t>销售等运营成本之后所产生的经营收益，优先抵减运营期第一年的政府补贴，若建设期所产生经营收益超过第一年政府补贴数额，则顺延抵减第二年及以后政府补贴费用。</w:t>
      </w:r>
    </w:p>
    <w:p>
      <w:pPr>
        <w:tabs>
          <w:tab w:val="clear" w:pos="3261"/>
          <w:tab w:val="clear" w:pos="4536"/>
        </w:tabs>
        <w:spacing w:line="360" w:lineRule="auto"/>
        <w:ind w:firstLine="560" w:firstLineChars="200"/>
        <w:rPr>
          <w:bCs/>
          <w:color w:val="000000"/>
        </w:rPr>
      </w:pPr>
      <w:r>
        <w:rPr>
          <w:rFonts w:hint="eastAsia"/>
          <w:bCs/>
          <w:color w:val="000000"/>
        </w:rPr>
        <w:t>在项目运营期，若项目运营年使用者付费收入高于报价使用者付费收入，则启动超额收益分配机制。</w:t>
      </w:r>
    </w:p>
    <w:p>
      <w:pPr>
        <w:tabs>
          <w:tab w:val="clear" w:pos="3261"/>
          <w:tab w:val="clear" w:pos="4536"/>
        </w:tabs>
        <w:spacing w:line="360" w:lineRule="auto"/>
        <w:ind w:firstLine="560" w:firstLineChars="200"/>
        <w:rPr>
          <w:color w:val="000000"/>
        </w:rPr>
      </w:pPr>
      <w:r>
        <w:rPr>
          <w:rFonts w:hint="eastAsia"/>
          <w:color w:val="000000"/>
        </w:rPr>
        <w:t>若项目实际经营收入超过</w:t>
      </w:r>
      <w:r>
        <w:rPr>
          <w:rFonts w:hint="eastAsia"/>
          <w:bCs/>
          <w:color w:val="000000"/>
        </w:rPr>
        <w:t>报价经营收入</w:t>
      </w:r>
      <w:r>
        <w:rPr>
          <w:rFonts w:hint="eastAsia"/>
          <w:color w:val="000000"/>
        </w:rPr>
        <w:t>10%以内由项目公司获取，10%以上部分由项目公司和政府按约定比例进行超额收益分配，比例如表3.8所示。</w:t>
      </w:r>
    </w:p>
    <w:p>
      <w:pPr>
        <w:tabs>
          <w:tab w:val="clear" w:pos="3261"/>
          <w:tab w:val="clear" w:pos="4536"/>
        </w:tabs>
        <w:spacing w:line="360" w:lineRule="auto"/>
        <w:ind w:firstLine="560" w:firstLineChars="200"/>
        <w:jc w:val="center"/>
        <w:rPr>
          <w:color w:val="000000"/>
        </w:rPr>
      </w:pPr>
      <w:r>
        <w:rPr>
          <w:rFonts w:hint="eastAsia"/>
          <w:color w:val="000000"/>
        </w:rPr>
        <w:t>表3.8 运营期项目超额收益分配表</w:t>
      </w:r>
    </w:p>
    <w:tbl>
      <w:tblPr>
        <w:tblStyle w:val="44"/>
        <w:tblW w:w="76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2916"/>
        <w:gridCol w:w="3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956" w:type="dxa"/>
            <w:vAlign w:val="center"/>
          </w:tcPr>
          <w:p>
            <w:pPr>
              <w:tabs>
                <w:tab w:val="clear" w:pos="3261"/>
                <w:tab w:val="clear" w:pos="4536"/>
              </w:tabs>
              <w:autoSpaceDE w:val="0"/>
              <w:autoSpaceDN w:val="0"/>
              <w:adjustRightInd w:val="0"/>
              <w:ind w:firstLine="0" w:firstLineChars="0"/>
              <w:jc w:val="center"/>
              <w:rPr>
                <w:color w:val="000000"/>
                <w:sz w:val="24"/>
                <w:szCs w:val="24"/>
              </w:rPr>
            </w:pPr>
            <w:r>
              <w:rPr>
                <w:rFonts w:hint="eastAsia"/>
                <w:color w:val="000000"/>
                <w:sz w:val="24"/>
                <w:szCs w:val="24"/>
              </w:rPr>
              <w:t>编号</w:t>
            </w:r>
          </w:p>
        </w:tc>
        <w:tc>
          <w:tcPr>
            <w:tcW w:w="2916" w:type="dxa"/>
            <w:vAlign w:val="center"/>
          </w:tcPr>
          <w:p>
            <w:pPr>
              <w:tabs>
                <w:tab w:val="clear" w:pos="3261"/>
                <w:tab w:val="clear" w:pos="4536"/>
              </w:tabs>
              <w:autoSpaceDE w:val="0"/>
              <w:autoSpaceDN w:val="0"/>
              <w:adjustRightInd w:val="0"/>
              <w:ind w:firstLine="0" w:firstLineChars="0"/>
              <w:rPr>
                <w:color w:val="000000"/>
                <w:sz w:val="24"/>
                <w:szCs w:val="24"/>
              </w:rPr>
            </w:pPr>
            <w:r>
              <w:rPr>
                <w:rFonts w:hint="eastAsia"/>
                <w:color w:val="000000"/>
                <w:sz w:val="24"/>
                <w:szCs w:val="24"/>
              </w:rPr>
              <w:t>实际经营收入高于</w:t>
            </w:r>
            <w:r>
              <w:rPr>
                <w:rFonts w:hint="eastAsia"/>
                <w:bCs/>
                <w:color w:val="000000"/>
                <w:sz w:val="24"/>
                <w:szCs w:val="24"/>
              </w:rPr>
              <w:t>报价经营收入</w:t>
            </w:r>
          </w:p>
        </w:tc>
        <w:tc>
          <w:tcPr>
            <w:tcW w:w="3756" w:type="dxa"/>
            <w:vAlign w:val="center"/>
          </w:tcPr>
          <w:p>
            <w:pPr>
              <w:tabs>
                <w:tab w:val="clear" w:pos="3261"/>
                <w:tab w:val="clear" w:pos="4536"/>
              </w:tabs>
              <w:autoSpaceDE w:val="0"/>
              <w:autoSpaceDN w:val="0"/>
              <w:adjustRightInd w:val="0"/>
              <w:ind w:firstLine="485" w:firstLineChars="0"/>
              <w:jc w:val="center"/>
              <w:rPr>
                <w:color w:val="000000"/>
                <w:sz w:val="24"/>
                <w:szCs w:val="24"/>
              </w:rPr>
            </w:pPr>
            <w:r>
              <w:rPr>
                <w:rFonts w:hint="eastAsia"/>
                <w:color w:val="000000"/>
                <w:sz w:val="24"/>
                <w:szCs w:val="24"/>
              </w:rPr>
              <w:t>政府与项目公司分成比例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956" w:type="dxa"/>
            <w:vAlign w:val="center"/>
          </w:tcPr>
          <w:p>
            <w:pPr>
              <w:tabs>
                <w:tab w:val="clear" w:pos="3261"/>
                <w:tab w:val="clear" w:pos="4536"/>
              </w:tabs>
              <w:autoSpaceDE w:val="0"/>
              <w:autoSpaceDN w:val="0"/>
              <w:adjustRightInd w:val="0"/>
              <w:ind w:firstLine="0" w:firstLineChars="0"/>
              <w:jc w:val="center"/>
              <w:rPr>
                <w:color w:val="000000"/>
                <w:sz w:val="24"/>
                <w:szCs w:val="24"/>
              </w:rPr>
            </w:pPr>
            <w:r>
              <w:rPr>
                <w:rFonts w:hint="eastAsia"/>
                <w:color w:val="000000"/>
                <w:sz w:val="24"/>
                <w:szCs w:val="24"/>
              </w:rPr>
              <w:t>1</w:t>
            </w:r>
          </w:p>
        </w:tc>
        <w:tc>
          <w:tcPr>
            <w:tcW w:w="2916" w:type="dxa"/>
            <w:vAlign w:val="center"/>
          </w:tcPr>
          <w:p>
            <w:pPr>
              <w:tabs>
                <w:tab w:val="clear" w:pos="3261"/>
                <w:tab w:val="clear" w:pos="4536"/>
              </w:tabs>
              <w:autoSpaceDE w:val="0"/>
              <w:autoSpaceDN w:val="0"/>
              <w:adjustRightInd w:val="0"/>
              <w:ind w:firstLine="0" w:firstLineChars="0"/>
              <w:jc w:val="center"/>
              <w:rPr>
                <w:color w:val="000000"/>
                <w:sz w:val="24"/>
                <w:szCs w:val="24"/>
              </w:rPr>
            </w:pPr>
            <w:r>
              <w:rPr>
                <w:rFonts w:hint="eastAsia"/>
                <w:color w:val="000000"/>
                <w:sz w:val="24"/>
                <w:szCs w:val="24"/>
              </w:rPr>
              <w:t>（0-10%]</w:t>
            </w:r>
          </w:p>
        </w:tc>
        <w:tc>
          <w:tcPr>
            <w:tcW w:w="3756" w:type="dxa"/>
            <w:vAlign w:val="center"/>
          </w:tcPr>
          <w:p>
            <w:pPr>
              <w:tabs>
                <w:tab w:val="clear" w:pos="3261"/>
                <w:tab w:val="clear" w:pos="4536"/>
              </w:tabs>
              <w:autoSpaceDE w:val="0"/>
              <w:autoSpaceDN w:val="0"/>
              <w:adjustRightInd w:val="0"/>
              <w:ind w:firstLine="485" w:firstLineChars="0"/>
              <w:jc w:val="center"/>
              <w:rPr>
                <w:color w:val="000000"/>
                <w:sz w:val="24"/>
                <w:szCs w:val="24"/>
              </w:rPr>
            </w:pPr>
            <w:r>
              <w:rPr>
                <w:rFonts w:hint="eastAsia"/>
                <w:color w:val="000000"/>
                <w:sz w:val="24"/>
                <w:szCs w:val="24"/>
              </w:rPr>
              <w:t>不分，归项目公司所有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6" w:type="dxa"/>
            <w:vAlign w:val="center"/>
          </w:tcPr>
          <w:p>
            <w:pPr>
              <w:tabs>
                <w:tab w:val="clear" w:pos="3261"/>
                <w:tab w:val="clear" w:pos="4536"/>
              </w:tabs>
              <w:autoSpaceDE w:val="0"/>
              <w:autoSpaceDN w:val="0"/>
              <w:adjustRightInd w:val="0"/>
              <w:ind w:firstLine="0" w:firstLineChars="0"/>
              <w:jc w:val="center"/>
              <w:rPr>
                <w:color w:val="000000"/>
                <w:sz w:val="24"/>
                <w:szCs w:val="24"/>
              </w:rPr>
            </w:pPr>
            <w:r>
              <w:rPr>
                <w:rFonts w:hint="eastAsia"/>
                <w:color w:val="000000"/>
                <w:sz w:val="24"/>
                <w:szCs w:val="24"/>
              </w:rPr>
              <w:t>2</w:t>
            </w:r>
          </w:p>
        </w:tc>
        <w:tc>
          <w:tcPr>
            <w:tcW w:w="2916" w:type="dxa"/>
            <w:vAlign w:val="center"/>
          </w:tcPr>
          <w:p>
            <w:pPr>
              <w:tabs>
                <w:tab w:val="clear" w:pos="3261"/>
                <w:tab w:val="clear" w:pos="4536"/>
              </w:tabs>
              <w:autoSpaceDE w:val="0"/>
              <w:autoSpaceDN w:val="0"/>
              <w:adjustRightInd w:val="0"/>
              <w:ind w:firstLine="12" w:firstLineChars="5"/>
              <w:jc w:val="center"/>
              <w:rPr>
                <w:color w:val="000000"/>
                <w:sz w:val="24"/>
                <w:szCs w:val="24"/>
              </w:rPr>
            </w:pPr>
            <w:r>
              <w:rPr>
                <w:rFonts w:hint="eastAsia"/>
                <w:color w:val="000000"/>
                <w:sz w:val="24"/>
                <w:szCs w:val="24"/>
              </w:rPr>
              <w:t>（10%-25%]</w:t>
            </w:r>
          </w:p>
        </w:tc>
        <w:tc>
          <w:tcPr>
            <w:tcW w:w="3756" w:type="dxa"/>
            <w:vAlign w:val="center"/>
          </w:tcPr>
          <w:p>
            <w:pPr>
              <w:tabs>
                <w:tab w:val="clear" w:pos="3261"/>
                <w:tab w:val="clear" w:pos="4536"/>
              </w:tabs>
              <w:autoSpaceDE w:val="0"/>
              <w:autoSpaceDN w:val="0"/>
              <w:adjustRightInd w:val="0"/>
              <w:ind w:firstLine="485" w:firstLineChars="0"/>
              <w:jc w:val="center"/>
              <w:rPr>
                <w:color w:val="000000"/>
                <w:sz w:val="24"/>
                <w:szCs w:val="24"/>
              </w:rPr>
            </w:pPr>
            <w:r>
              <w:rPr>
                <w:rFonts w:hint="eastAsia"/>
                <w:color w:val="000000"/>
                <w:sz w:val="24"/>
                <w:szCs w:val="24"/>
              </w:rPr>
              <w:t>30%:70%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6" w:type="dxa"/>
            <w:vAlign w:val="center"/>
          </w:tcPr>
          <w:p>
            <w:pPr>
              <w:tabs>
                <w:tab w:val="clear" w:pos="3261"/>
                <w:tab w:val="clear" w:pos="4536"/>
              </w:tabs>
              <w:autoSpaceDE w:val="0"/>
              <w:autoSpaceDN w:val="0"/>
              <w:adjustRightInd w:val="0"/>
              <w:ind w:firstLine="0" w:firstLineChars="0"/>
              <w:jc w:val="center"/>
              <w:rPr>
                <w:color w:val="000000"/>
                <w:sz w:val="24"/>
                <w:szCs w:val="24"/>
              </w:rPr>
            </w:pPr>
            <w:r>
              <w:rPr>
                <w:rFonts w:hint="eastAsia"/>
                <w:color w:val="000000"/>
                <w:sz w:val="24"/>
                <w:szCs w:val="24"/>
              </w:rPr>
              <w:t>3</w:t>
            </w:r>
          </w:p>
        </w:tc>
        <w:tc>
          <w:tcPr>
            <w:tcW w:w="2916" w:type="dxa"/>
            <w:vAlign w:val="center"/>
          </w:tcPr>
          <w:p>
            <w:pPr>
              <w:tabs>
                <w:tab w:val="clear" w:pos="3261"/>
                <w:tab w:val="clear" w:pos="4536"/>
              </w:tabs>
              <w:autoSpaceDE w:val="0"/>
              <w:autoSpaceDN w:val="0"/>
              <w:adjustRightInd w:val="0"/>
              <w:ind w:firstLine="12" w:firstLineChars="5"/>
              <w:jc w:val="center"/>
              <w:rPr>
                <w:color w:val="000000"/>
                <w:sz w:val="24"/>
                <w:szCs w:val="24"/>
              </w:rPr>
            </w:pPr>
            <w:r>
              <w:rPr>
                <w:rFonts w:hint="eastAsia"/>
                <w:color w:val="000000"/>
                <w:sz w:val="24"/>
                <w:szCs w:val="24"/>
              </w:rPr>
              <w:t>（25%-40%]</w:t>
            </w:r>
          </w:p>
        </w:tc>
        <w:tc>
          <w:tcPr>
            <w:tcW w:w="3756" w:type="dxa"/>
            <w:vAlign w:val="center"/>
          </w:tcPr>
          <w:p>
            <w:pPr>
              <w:tabs>
                <w:tab w:val="clear" w:pos="3261"/>
                <w:tab w:val="clear" w:pos="4536"/>
              </w:tabs>
              <w:autoSpaceDE w:val="0"/>
              <w:autoSpaceDN w:val="0"/>
              <w:adjustRightInd w:val="0"/>
              <w:ind w:firstLine="485" w:firstLineChars="0"/>
              <w:jc w:val="center"/>
              <w:rPr>
                <w:color w:val="000000"/>
                <w:sz w:val="24"/>
                <w:szCs w:val="24"/>
              </w:rPr>
            </w:pPr>
            <w:r>
              <w:rPr>
                <w:rFonts w:hint="eastAsia"/>
                <w:color w:val="000000"/>
                <w:sz w:val="24"/>
                <w:szCs w:val="24"/>
              </w:rPr>
              <w:t>40%:60%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6" w:type="dxa"/>
            <w:vAlign w:val="center"/>
          </w:tcPr>
          <w:p>
            <w:pPr>
              <w:tabs>
                <w:tab w:val="clear" w:pos="3261"/>
                <w:tab w:val="clear" w:pos="4536"/>
              </w:tabs>
              <w:autoSpaceDE w:val="0"/>
              <w:autoSpaceDN w:val="0"/>
              <w:adjustRightInd w:val="0"/>
              <w:ind w:firstLine="0" w:firstLineChars="0"/>
              <w:jc w:val="center"/>
              <w:rPr>
                <w:color w:val="000000"/>
                <w:sz w:val="24"/>
                <w:szCs w:val="24"/>
              </w:rPr>
            </w:pPr>
            <w:r>
              <w:rPr>
                <w:rFonts w:hint="eastAsia"/>
                <w:color w:val="000000"/>
                <w:sz w:val="24"/>
                <w:szCs w:val="24"/>
              </w:rPr>
              <w:t>4</w:t>
            </w:r>
          </w:p>
        </w:tc>
        <w:tc>
          <w:tcPr>
            <w:tcW w:w="2916" w:type="dxa"/>
            <w:vAlign w:val="center"/>
          </w:tcPr>
          <w:p>
            <w:pPr>
              <w:tabs>
                <w:tab w:val="clear" w:pos="3261"/>
                <w:tab w:val="clear" w:pos="4536"/>
              </w:tabs>
              <w:autoSpaceDE w:val="0"/>
              <w:autoSpaceDN w:val="0"/>
              <w:adjustRightInd w:val="0"/>
              <w:ind w:firstLine="12" w:firstLineChars="5"/>
              <w:jc w:val="center"/>
              <w:rPr>
                <w:color w:val="000000"/>
                <w:sz w:val="24"/>
                <w:szCs w:val="24"/>
              </w:rPr>
            </w:pPr>
            <w:r>
              <w:rPr>
                <w:rFonts w:hint="eastAsia"/>
                <w:color w:val="000000"/>
                <w:sz w:val="24"/>
                <w:szCs w:val="24"/>
              </w:rPr>
              <w:t>（30%-40%]</w:t>
            </w:r>
          </w:p>
        </w:tc>
        <w:tc>
          <w:tcPr>
            <w:tcW w:w="3756" w:type="dxa"/>
            <w:vAlign w:val="center"/>
          </w:tcPr>
          <w:p>
            <w:pPr>
              <w:tabs>
                <w:tab w:val="clear" w:pos="3261"/>
                <w:tab w:val="clear" w:pos="4536"/>
              </w:tabs>
              <w:autoSpaceDE w:val="0"/>
              <w:autoSpaceDN w:val="0"/>
              <w:adjustRightInd w:val="0"/>
              <w:ind w:firstLine="485" w:firstLineChars="0"/>
              <w:jc w:val="center"/>
              <w:rPr>
                <w:color w:val="000000"/>
                <w:sz w:val="24"/>
                <w:szCs w:val="24"/>
              </w:rPr>
            </w:pPr>
            <w:r>
              <w:rPr>
                <w:rFonts w:hint="eastAsia"/>
                <w:color w:val="000000"/>
                <w:sz w:val="24"/>
                <w:szCs w:val="24"/>
              </w:rPr>
              <w:t>50%:50%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956" w:type="dxa"/>
            <w:vAlign w:val="center"/>
          </w:tcPr>
          <w:p>
            <w:pPr>
              <w:tabs>
                <w:tab w:val="clear" w:pos="3261"/>
                <w:tab w:val="clear" w:pos="4536"/>
              </w:tabs>
              <w:autoSpaceDE w:val="0"/>
              <w:autoSpaceDN w:val="0"/>
              <w:adjustRightInd w:val="0"/>
              <w:ind w:firstLine="0" w:firstLineChars="0"/>
              <w:jc w:val="center"/>
              <w:rPr>
                <w:color w:val="000000"/>
                <w:sz w:val="24"/>
                <w:szCs w:val="24"/>
              </w:rPr>
            </w:pPr>
            <w:r>
              <w:rPr>
                <w:rFonts w:hint="eastAsia"/>
                <w:color w:val="000000"/>
                <w:sz w:val="24"/>
                <w:szCs w:val="24"/>
              </w:rPr>
              <w:t>5</w:t>
            </w:r>
          </w:p>
        </w:tc>
        <w:tc>
          <w:tcPr>
            <w:tcW w:w="2916" w:type="dxa"/>
            <w:vAlign w:val="center"/>
          </w:tcPr>
          <w:p>
            <w:pPr>
              <w:tabs>
                <w:tab w:val="clear" w:pos="3261"/>
                <w:tab w:val="clear" w:pos="4536"/>
              </w:tabs>
              <w:autoSpaceDE w:val="0"/>
              <w:autoSpaceDN w:val="0"/>
              <w:adjustRightInd w:val="0"/>
              <w:ind w:firstLine="12" w:firstLineChars="5"/>
              <w:jc w:val="center"/>
              <w:rPr>
                <w:color w:val="000000"/>
                <w:sz w:val="24"/>
                <w:szCs w:val="24"/>
              </w:rPr>
            </w:pPr>
            <w:r>
              <w:rPr>
                <w:rFonts w:hint="eastAsia"/>
                <w:color w:val="000000"/>
                <w:sz w:val="24"/>
                <w:szCs w:val="24"/>
              </w:rPr>
              <w:t>（4</w:t>
            </w:r>
            <w:r>
              <w:rPr>
                <w:color w:val="000000"/>
                <w:sz w:val="24"/>
                <w:szCs w:val="24"/>
              </w:rPr>
              <w:t>0%-</w:t>
            </w:r>
            <w:r>
              <w:rPr>
                <w:rFonts w:hint="eastAsia"/>
                <w:color w:val="000000"/>
                <w:sz w:val="24"/>
                <w:szCs w:val="24"/>
              </w:rPr>
              <w:t>5</w:t>
            </w:r>
            <w:r>
              <w:rPr>
                <w:color w:val="000000"/>
                <w:sz w:val="24"/>
                <w:szCs w:val="24"/>
              </w:rPr>
              <w:t>0%</w:t>
            </w:r>
            <w:r>
              <w:rPr>
                <w:rFonts w:hint="eastAsia"/>
                <w:color w:val="000000"/>
                <w:sz w:val="24"/>
                <w:szCs w:val="24"/>
              </w:rPr>
              <w:t>]</w:t>
            </w:r>
          </w:p>
        </w:tc>
        <w:tc>
          <w:tcPr>
            <w:tcW w:w="3756" w:type="dxa"/>
            <w:vAlign w:val="center"/>
          </w:tcPr>
          <w:p>
            <w:pPr>
              <w:tabs>
                <w:tab w:val="clear" w:pos="3261"/>
                <w:tab w:val="clear" w:pos="4536"/>
              </w:tabs>
              <w:autoSpaceDE w:val="0"/>
              <w:autoSpaceDN w:val="0"/>
              <w:adjustRightInd w:val="0"/>
              <w:ind w:firstLine="485" w:firstLineChars="0"/>
              <w:jc w:val="center"/>
              <w:rPr>
                <w:color w:val="000000"/>
                <w:sz w:val="24"/>
                <w:szCs w:val="24"/>
              </w:rPr>
            </w:pPr>
            <w:r>
              <w:rPr>
                <w:rFonts w:hint="eastAsia"/>
                <w:color w:val="000000"/>
                <w:sz w:val="24"/>
                <w:szCs w:val="24"/>
              </w:rPr>
              <w:t>6</w:t>
            </w:r>
            <w:r>
              <w:rPr>
                <w:color w:val="000000"/>
                <w:sz w:val="24"/>
                <w:szCs w:val="24"/>
              </w:rPr>
              <w:t>0%:</w:t>
            </w:r>
            <w:r>
              <w:rPr>
                <w:rFonts w:hint="eastAsia"/>
                <w:color w:val="000000"/>
                <w:sz w:val="24"/>
                <w:szCs w:val="24"/>
              </w:rPr>
              <w:t>4</w:t>
            </w:r>
            <w:r>
              <w:rPr>
                <w:color w:val="000000"/>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6" w:type="dxa"/>
            <w:vAlign w:val="center"/>
          </w:tcPr>
          <w:p>
            <w:pPr>
              <w:tabs>
                <w:tab w:val="clear" w:pos="3261"/>
                <w:tab w:val="clear" w:pos="4536"/>
              </w:tabs>
              <w:autoSpaceDE w:val="0"/>
              <w:autoSpaceDN w:val="0"/>
              <w:adjustRightInd w:val="0"/>
              <w:ind w:firstLine="0" w:firstLineChars="0"/>
              <w:jc w:val="center"/>
              <w:rPr>
                <w:color w:val="000000"/>
                <w:sz w:val="24"/>
                <w:szCs w:val="24"/>
              </w:rPr>
            </w:pPr>
            <w:r>
              <w:rPr>
                <w:rFonts w:hint="eastAsia"/>
                <w:color w:val="000000"/>
                <w:sz w:val="24"/>
                <w:szCs w:val="24"/>
              </w:rPr>
              <w:t>6</w:t>
            </w:r>
          </w:p>
        </w:tc>
        <w:tc>
          <w:tcPr>
            <w:tcW w:w="2916" w:type="dxa"/>
            <w:vAlign w:val="center"/>
          </w:tcPr>
          <w:p>
            <w:pPr>
              <w:tabs>
                <w:tab w:val="clear" w:pos="3261"/>
                <w:tab w:val="clear" w:pos="4536"/>
              </w:tabs>
              <w:autoSpaceDE w:val="0"/>
              <w:autoSpaceDN w:val="0"/>
              <w:adjustRightInd w:val="0"/>
              <w:ind w:firstLine="12" w:firstLineChars="5"/>
              <w:jc w:val="center"/>
              <w:rPr>
                <w:color w:val="000000"/>
                <w:sz w:val="24"/>
                <w:szCs w:val="24"/>
              </w:rPr>
            </w:pPr>
            <w:r>
              <w:rPr>
                <w:rFonts w:hint="eastAsia"/>
                <w:color w:val="000000"/>
                <w:sz w:val="24"/>
                <w:szCs w:val="24"/>
              </w:rPr>
              <w:t>5</w:t>
            </w:r>
            <w:r>
              <w:rPr>
                <w:color w:val="000000"/>
                <w:sz w:val="24"/>
                <w:szCs w:val="24"/>
              </w:rPr>
              <w:t>0%</w:t>
            </w:r>
            <w:r>
              <w:rPr>
                <w:rFonts w:hint="eastAsia"/>
                <w:color w:val="000000"/>
                <w:sz w:val="24"/>
                <w:szCs w:val="24"/>
              </w:rPr>
              <w:t>以上</w:t>
            </w:r>
          </w:p>
        </w:tc>
        <w:tc>
          <w:tcPr>
            <w:tcW w:w="3756" w:type="dxa"/>
            <w:vAlign w:val="center"/>
          </w:tcPr>
          <w:p>
            <w:pPr>
              <w:tabs>
                <w:tab w:val="clear" w:pos="3261"/>
                <w:tab w:val="clear" w:pos="4536"/>
              </w:tabs>
              <w:autoSpaceDE w:val="0"/>
              <w:autoSpaceDN w:val="0"/>
              <w:adjustRightInd w:val="0"/>
              <w:ind w:firstLine="485" w:firstLineChars="0"/>
              <w:jc w:val="center"/>
              <w:rPr>
                <w:color w:val="000000"/>
                <w:sz w:val="24"/>
                <w:szCs w:val="24"/>
              </w:rPr>
            </w:pPr>
            <w:r>
              <w:rPr>
                <w:rFonts w:hint="eastAsia"/>
                <w:color w:val="000000"/>
                <w:sz w:val="24"/>
                <w:szCs w:val="24"/>
              </w:rPr>
              <w:t>7</w:t>
            </w:r>
            <w:r>
              <w:rPr>
                <w:color w:val="000000"/>
                <w:sz w:val="24"/>
                <w:szCs w:val="24"/>
              </w:rPr>
              <w:t>0%:</w:t>
            </w:r>
            <w:r>
              <w:rPr>
                <w:rFonts w:hint="eastAsia"/>
                <w:color w:val="000000"/>
                <w:sz w:val="24"/>
                <w:szCs w:val="24"/>
              </w:rPr>
              <w:t>3</w:t>
            </w:r>
            <w:r>
              <w:rPr>
                <w:color w:val="000000"/>
                <w:sz w:val="24"/>
                <w:szCs w:val="24"/>
              </w:rPr>
              <w:t>0%</w:t>
            </w:r>
          </w:p>
        </w:tc>
      </w:tr>
    </w:tbl>
    <w:p>
      <w:pPr>
        <w:spacing w:line="360" w:lineRule="auto"/>
        <w:ind w:firstLine="560" w:firstLineChars="200"/>
        <w:rPr>
          <w:strike/>
        </w:rPr>
      </w:pPr>
      <w:r>
        <w:rPr>
          <w:rFonts w:hint="eastAsia"/>
          <w:color w:val="000000"/>
        </w:rPr>
        <w:t>政府分得的超额收益，可用于抵减当年预计的可行性缺口补助，在当年度绩效考核确认完成后进行结算。若按照当年绩效考核结果政府应承担的可行性缺口补助全部抵减后仍有超额部分则由项目公司作为“应交专项储备物资有偿转让金”上缴财政。</w:t>
      </w:r>
    </w:p>
    <w:p>
      <w:pPr>
        <w:pStyle w:val="3"/>
        <w:ind w:firstLine="562"/>
        <w:rPr>
          <w:color w:val="000000" w:themeColor="text1"/>
          <w14:textFill>
            <w14:solidFill>
              <w14:schemeClr w14:val="tx1"/>
            </w14:solidFill>
          </w14:textFill>
        </w:rPr>
      </w:pPr>
      <w:bookmarkStart w:id="25" w:name="_Toc3974728"/>
      <w:r>
        <w:rPr>
          <w:rFonts w:hint="eastAsia"/>
          <w:color w:val="000000" w:themeColor="text1"/>
          <w14:textFill>
            <w14:solidFill>
              <w14:schemeClr w14:val="tx1"/>
            </w14:solidFill>
          </w14:textFill>
        </w:rPr>
        <w:t>11、项目绩效考核</w:t>
      </w:r>
      <w:bookmarkEnd w:id="25"/>
    </w:p>
    <w:p>
      <w:pPr>
        <w:rPr>
          <w:color w:val="000000"/>
        </w:rPr>
      </w:pPr>
      <w:bookmarkStart w:id="26" w:name="_Toc514232532"/>
      <w:bookmarkStart w:id="27" w:name="_Toc3890914"/>
      <w:r>
        <w:rPr>
          <w:rFonts w:hint="eastAsia"/>
          <w:color w:val="000000"/>
        </w:rPr>
        <w:t>（1）建设期</w:t>
      </w:r>
      <w:r>
        <w:rPr>
          <w:color w:val="000000"/>
        </w:rPr>
        <w:t>绩效考核</w:t>
      </w:r>
      <w:bookmarkEnd w:id="26"/>
      <w:bookmarkEnd w:id="27"/>
    </w:p>
    <w:p>
      <w:pPr>
        <w:tabs>
          <w:tab w:val="clear" w:pos="3261"/>
          <w:tab w:val="clear" w:pos="4536"/>
        </w:tabs>
        <w:adjustRightInd w:val="0"/>
        <w:snapToGrid w:val="0"/>
        <w:spacing w:line="360" w:lineRule="auto"/>
        <w:ind w:firstLine="560" w:firstLineChars="200"/>
        <w:rPr>
          <w:color w:val="000000"/>
        </w:rPr>
      </w:pPr>
      <w:r>
        <w:rPr>
          <w:rFonts w:hint="eastAsia"/>
          <w:color w:val="000000"/>
        </w:rPr>
        <w:t>建设期绩效考评实行打分制并设定及格线60分，考核结果与可用性付费的70%进行挂钩，可用性付费的30%与运营期绩效考核结果挂钩。</w:t>
      </w:r>
    </w:p>
    <w:p>
      <w:pPr>
        <w:tabs>
          <w:tab w:val="clear" w:pos="3261"/>
          <w:tab w:val="clear" w:pos="4536"/>
        </w:tabs>
        <w:adjustRightInd w:val="0"/>
        <w:snapToGrid w:val="0"/>
        <w:spacing w:line="360" w:lineRule="auto"/>
        <w:ind w:firstLine="560" w:firstLineChars="200"/>
        <w:rPr>
          <w:color w:val="000000"/>
        </w:rPr>
        <w:sectPr>
          <w:pgSz w:w="11906" w:h="16838"/>
          <w:pgMar w:top="1440" w:right="1797" w:bottom="1440" w:left="1797" w:header="851" w:footer="992" w:gutter="0"/>
          <w:cols w:space="425" w:num="1"/>
          <w:docGrid w:linePitch="312" w:charSpace="0"/>
        </w:sectPr>
      </w:pPr>
      <w:r>
        <w:rPr>
          <w:rFonts w:hint="eastAsia"/>
          <w:color w:val="000000"/>
        </w:rPr>
        <w:t>建设期绩效考核分为定期考核和不定期考核，定期考核每年考核四次，分别每季度末</w:t>
      </w:r>
      <w:r>
        <w:rPr>
          <w:color w:val="000000"/>
        </w:rPr>
        <w:t>进行，每次考核得分占当年总分值的</w:t>
      </w:r>
      <w:r>
        <w:rPr>
          <w:rFonts w:hint="eastAsia"/>
          <w:color w:val="000000"/>
        </w:rPr>
        <w:t>25</w:t>
      </w:r>
      <w:r>
        <w:rPr>
          <w:color w:val="000000"/>
        </w:rPr>
        <w:t>%。</w:t>
      </w:r>
      <w:r>
        <w:rPr>
          <w:rFonts w:hint="eastAsia"/>
          <w:color w:val="000000"/>
        </w:rPr>
        <w:t>绩效考核小组</w:t>
      </w:r>
      <w:r>
        <w:rPr>
          <w:color w:val="000000"/>
        </w:rPr>
        <w:t>可以随时自行考核</w:t>
      </w:r>
      <w:r>
        <w:rPr>
          <w:rFonts w:hint="eastAsia"/>
          <w:color w:val="000000"/>
        </w:rPr>
        <w:t>项目</w:t>
      </w:r>
      <w:r>
        <w:rPr>
          <w:color w:val="000000"/>
        </w:rPr>
        <w:t>公司的建设期绩效，如发现缺陷，</w:t>
      </w:r>
      <w:r>
        <w:rPr>
          <w:rFonts w:hint="eastAsia"/>
          <w:color w:val="000000"/>
        </w:rPr>
        <w:t>则需在</w:t>
      </w:r>
      <w:r>
        <w:rPr>
          <w:color w:val="000000"/>
        </w:rPr>
        <w:t>24小时内以书面形式通知项目公司。项目公司在接到绩效考核小组的书面通知后，应在绩效考核要求的时间内修复缺陷。最终建设期绩效考核得分取建设期每年绩效考核得分的加和平均值。</w:t>
      </w:r>
    </w:p>
    <w:p>
      <w:pPr>
        <w:tabs>
          <w:tab w:val="clear" w:pos="3261"/>
          <w:tab w:val="clear" w:pos="4536"/>
        </w:tabs>
        <w:ind w:firstLine="560" w:firstLineChars="200"/>
        <w:rPr>
          <w:rFonts w:eastAsia="等线"/>
          <w:color w:val="000000"/>
          <w:sz w:val="21"/>
          <w:szCs w:val="22"/>
        </w:rPr>
      </w:pPr>
      <w:r>
        <w:rPr>
          <w:rFonts w:hint="eastAsia"/>
          <w:color w:val="000000"/>
        </w:rPr>
        <w:t>建设期绩效考核指标主要包括作业设计、造林质量、建设进度、建设成本、环境保护、安全生产等方面。</w:t>
      </w:r>
    </w:p>
    <w:p>
      <w:pPr>
        <w:tabs>
          <w:tab w:val="clear" w:pos="3261"/>
          <w:tab w:val="clear" w:pos="4536"/>
        </w:tabs>
        <w:adjustRightInd w:val="0"/>
        <w:snapToGrid w:val="0"/>
        <w:spacing w:line="360" w:lineRule="auto"/>
        <w:ind w:firstLine="560" w:firstLineChars="200"/>
        <w:jc w:val="center"/>
        <w:rPr>
          <w:color w:val="000000"/>
        </w:rPr>
      </w:pPr>
      <w:r>
        <w:rPr>
          <w:color w:val="000000"/>
        </w:rPr>
        <w:t>表</w:t>
      </w:r>
      <w:r>
        <w:rPr>
          <w:rFonts w:hint="eastAsia"/>
          <w:color w:val="000000"/>
        </w:rPr>
        <w:t>3.9建设期</w:t>
      </w:r>
      <w:r>
        <w:rPr>
          <w:color w:val="000000"/>
        </w:rPr>
        <w:t>绩效考核表</w:t>
      </w:r>
    </w:p>
    <w:tbl>
      <w:tblPr>
        <w:tblStyle w:val="250"/>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375"/>
        <w:gridCol w:w="6069"/>
        <w:gridCol w:w="50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96"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序号</w:t>
            </w:r>
          </w:p>
        </w:tc>
        <w:tc>
          <w:tcPr>
            <w:tcW w:w="1375"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考核内容</w:t>
            </w:r>
          </w:p>
        </w:tc>
        <w:tc>
          <w:tcPr>
            <w:tcW w:w="6069"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考核依据</w:t>
            </w:r>
          </w:p>
        </w:tc>
        <w:tc>
          <w:tcPr>
            <w:tcW w:w="5051" w:type="dxa"/>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考核标注</w:t>
            </w:r>
          </w:p>
        </w:tc>
        <w:tc>
          <w:tcPr>
            <w:tcW w:w="709" w:type="dxa"/>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1</w:t>
            </w:r>
          </w:p>
        </w:tc>
        <w:tc>
          <w:tcPr>
            <w:tcW w:w="1375"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作业设计</w:t>
            </w:r>
          </w:p>
        </w:tc>
        <w:tc>
          <w:tcPr>
            <w:tcW w:w="6069" w:type="dxa"/>
            <w:vAlign w:val="center"/>
          </w:tcPr>
          <w:p>
            <w:pPr>
              <w:tabs>
                <w:tab w:val="clear" w:pos="3261"/>
                <w:tab w:val="clear" w:pos="4536"/>
              </w:tabs>
              <w:ind w:firstLine="0" w:firstLineChars="0"/>
              <w:jc w:val="left"/>
              <w:rPr>
                <w:color w:val="000000"/>
                <w:kern w:val="0"/>
                <w:sz w:val="24"/>
                <w:szCs w:val="24"/>
              </w:rPr>
            </w:pPr>
            <w:r>
              <w:rPr>
                <w:rFonts w:hint="eastAsia"/>
                <w:color w:val="000000"/>
                <w:kern w:val="0"/>
                <w:sz w:val="24"/>
                <w:szCs w:val="24"/>
              </w:rPr>
              <w:t>《中华人民共和国森林法》（</w:t>
            </w:r>
            <w:r>
              <w:rPr>
                <w:color w:val="000000"/>
                <w:kern w:val="0"/>
                <w:sz w:val="24"/>
                <w:szCs w:val="24"/>
              </w:rPr>
              <w:t>1984 年全国人大常委会通过，1998 年修改）；</w:t>
            </w:r>
            <w:r>
              <w:rPr>
                <w:rFonts w:hint="eastAsia"/>
                <w:color w:val="000000"/>
                <w:kern w:val="0"/>
                <w:sz w:val="24"/>
                <w:szCs w:val="24"/>
              </w:rPr>
              <w:t>《中华人民共和国森林法实施条例》（中华人民共和国国务院令第</w:t>
            </w:r>
            <w:r>
              <w:rPr>
                <w:color w:val="000000"/>
                <w:kern w:val="0"/>
                <w:sz w:val="24"/>
                <w:szCs w:val="24"/>
              </w:rPr>
              <w:t>278号）；</w:t>
            </w:r>
            <w:r>
              <w:rPr>
                <w:rFonts w:hint="eastAsia"/>
                <w:color w:val="000000"/>
                <w:kern w:val="0"/>
                <w:sz w:val="24"/>
                <w:szCs w:val="24"/>
              </w:rPr>
              <w:t>《造林作业设计规程》（</w:t>
            </w:r>
            <w:r>
              <w:rPr>
                <w:color w:val="000000"/>
                <w:kern w:val="0"/>
                <w:sz w:val="24"/>
                <w:szCs w:val="24"/>
              </w:rPr>
              <w:t>LY/T1607～2003）；</w:t>
            </w:r>
            <w:r>
              <w:rPr>
                <w:rFonts w:hint="eastAsia"/>
                <w:color w:val="000000"/>
                <w:kern w:val="0"/>
                <w:sz w:val="24"/>
                <w:szCs w:val="24"/>
              </w:rPr>
              <w:t>《主要造林树种苗木质量分级》（</w:t>
            </w:r>
            <w:r>
              <w:rPr>
                <w:color w:val="000000"/>
                <w:kern w:val="0"/>
                <w:sz w:val="24"/>
                <w:szCs w:val="24"/>
              </w:rPr>
              <w:t>GB6000-1999）；</w:t>
            </w:r>
            <w:r>
              <w:rPr>
                <w:rFonts w:hint="eastAsia"/>
                <w:color w:val="000000"/>
                <w:kern w:val="0"/>
                <w:sz w:val="24"/>
                <w:szCs w:val="24"/>
              </w:rPr>
              <w:t>《全国木材战略储备生产基地年度施工作业设计管理办法》；《国家储备林划定办法（试行）》（办丰字[2014]</w:t>
            </w:r>
            <w:r>
              <w:rPr>
                <w:color w:val="000000"/>
                <w:kern w:val="0"/>
                <w:sz w:val="24"/>
                <w:szCs w:val="24"/>
              </w:rPr>
              <w:t>43号）；</w:t>
            </w:r>
            <w:r>
              <w:rPr>
                <w:rFonts w:hint="eastAsia"/>
                <w:color w:val="000000"/>
                <w:kern w:val="0"/>
                <w:sz w:val="24"/>
                <w:szCs w:val="24"/>
              </w:rPr>
              <w:t>《集约经营用材林基地造林总体设计规程》；《森林资源规划设计调查技术规程》；《</w:t>
            </w:r>
            <w:r>
              <w:rPr>
                <w:color w:val="000000"/>
                <w:kern w:val="0"/>
                <w:sz w:val="24"/>
                <w:szCs w:val="24"/>
              </w:rPr>
              <w:t>FSC森林原则和标准》等。</w:t>
            </w:r>
          </w:p>
        </w:tc>
        <w:tc>
          <w:tcPr>
            <w:tcW w:w="5051" w:type="dxa"/>
          </w:tcPr>
          <w:p>
            <w:pPr>
              <w:tabs>
                <w:tab w:val="clear" w:pos="3261"/>
                <w:tab w:val="clear" w:pos="4536"/>
              </w:tabs>
              <w:ind w:firstLine="0" w:firstLineChars="0"/>
              <w:jc w:val="left"/>
              <w:rPr>
                <w:color w:val="000000"/>
                <w:kern w:val="0"/>
                <w:sz w:val="24"/>
                <w:szCs w:val="24"/>
              </w:rPr>
            </w:pPr>
            <w:r>
              <w:rPr>
                <w:rFonts w:hint="eastAsia"/>
                <w:color w:val="000000"/>
                <w:kern w:val="0"/>
                <w:sz w:val="24"/>
                <w:szCs w:val="24"/>
              </w:rPr>
              <w:t>每有一处设计不符合要求扣0.5分。</w:t>
            </w:r>
          </w:p>
        </w:tc>
        <w:tc>
          <w:tcPr>
            <w:tcW w:w="709" w:type="dxa"/>
          </w:tcPr>
          <w:p>
            <w:pPr>
              <w:tabs>
                <w:tab w:val="clear" w:pos="3261"/>
                <w:tab w:val="clear" w:pos="4536"/>
              </w:tabs>
              <w:ind w:firstLine="0" w:firstLineChars="0"/>
              <w:jc w:val="left"/>
              <w:rPr>
                <w:color w:val="000000"/>
                <w:kern w:val="0"/>
                <w:sz w:val="24"/>
                <w:szCs w:val="24"/>
              </w:rPr>
            </w:pPr>
            <w:r>
              <w:rPr>
                <w:rFonts w:hint="eastAsia"/>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2</w:t>
            </w:r>
          </w:p>
        </w:tc>
        <w:tc>
          <w:tcPr>
            <w:tcW w:w="1375"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造林作业/造林质量</w:t>
            </w:r>
          </w:p>
        </w:tc>
        <w:tc>
          <w:tcPr>
            <w:tcW w:w="6069" w:type="dxa"/>
            <w:vAlign w:val="center"/>
          </w:tcPr>
          <w:p>
            <w:pPr>
              <w:tabs>
                <w:tab w:val="clear" w:pos="3261"/>
                <w:tab w:val="clear" w:pos="4536"/>
              </w:tabs>
              <w:ind w:firstLine="0" w:firstLineChars="0"/>
              <w:rPr>
                <w:color w:val="000000"/>
                <w:kern w:val="0"/>
                <w:sz w:val="24"/>
                <w:szCs w:val="24"/>
              </w:rPr>
            </w:pPr>
            <w:r>
              <w:rPr>
                <w:rFonts w:hint="eastAsia"/>
                <w:color w:val="000000"/>
                <w:kern w:val="0"/>
                <w:sz w:val="24"/>
                <w:szCs w:val="24"/>
              </w:rPr>
              <w:t>《森林采伐作业规程》（</w:t>
            </w:r>
            <w:r>
              <w:rPr>
                <w:color w:val="000000"/>
                <w:kern w:val="0"/>
                <w:sz w:val="24"/>
                <w:szCs w:val="24"/>
              </w:rPr>
              <w:t>LY/T1646～2005）；</w:t>
            </w:r>
            <w:r>
              <w:rPr>
                <w:rFonts w:hint="eastAsia"/>
                <w:color w:val="000000"/>
                <w:kern w:val="0"/>
                <w:sz w:val="24"/>
                <w:szCs w:val="24"/>
              </w:rPr>
              <w:t>《速生丰产用材林生产培育技术规程》（</w:t>
            </w:r>
            <w:r>
              <w:rPr>
                <w:color w:val="000000"/>
                <w:kern w:val="0"/>
                <w:sz w:val="24"/>
                <w:szCs w:val="24"/>
              </w:rPr>
              <w:t>LY/T1706-2007）；</w:t>
            </w:r>
            <w:r>
              <w:rPr>
                <w:rFonts w:hint="eastAsia"/>
                <w:color w:val="000000"/>
                <w:kern w:val="0"/>
                <w:sz w:val="24"/>
                <w:szCs w:val="24"/>
              </w:rPr>
              <w:t>《低效林改造技术规程》（</w:t>
            </w:r>
            <w:r>
              <w:rPr>
                <w:color w:val="000000"/>
                <w:kern w:val="0"/>
                <w:sz w:val="24"/>
                <w:szCs w:val="24"/>
              </w:rPr>
              <w:t>LY/T1690～2007）；</w:t>
            </w:r>
            <w:r>
              <w:rPr>
                <w:rFonts w:hint="eastAsia"/>
                <w:color w:val="000000"/>
                <w:kern w:val="0"/>
                <w:sz w:val="24"/>
                <w:szCs w:val="24"/>
              </w:rPr>
              <w:t>《短轮伐期和速生丰产用材林采伐作业规程》（</w:t>
            </w:r>
            <w:r>
              <w:rPr>
                <w:color w:val="000000"/>
                <w:kern w:val="0"/>
                <w:sz w:val="24"/>
                <w:szCs w:val="24"/>
              </w:rPr>
              <w:t>LY/T1724～2008）；</w:t>
            </w:r>
            <w:r>
              <w:rPr>
                <w:rFonts w:hint="eastAsia"/>
                <w:color w:val="000000"/>
                <w:kern w:val="0"/>
                <w:sz w:val="24"/>
                <w:szCs w:val="24"/>
              </w:rPr>
              <w:t>《人工造林质量评价指标》（</w:t>
            </w:r>
            <w:r>
              <w:rPr>
                <w:color w:val="000000"/>
                <w:kern w:val="0"/>
                <w:sz w:val="24"/>
                <w:szCs w:val="24"/>
              </w:rPr>
              <w:t>LY/T1844～2009）；</w:t>
            </w:r>
            <w:r>
              <w:rPr>
                <w:rFonts w:hint="eastAsia"/>
                <w:color w:val="000000"/>
                <w:kern w:val="0"/>
                <w:sz w:val="24"/>
                <w:szCs w:val="24"/>
              </w:rPr>
              <w:t>《全国木材战略储备生产基地现有林改培技术规程（试行）》（国家林业局</w:t>
            </w:r>
            <w:r>
              <w:rPr>
                <w:color w:val="000000"/>
                <w:kern w:val="0"/>
                <w:sz w:val="24"/>
                <w:szCs w:val="24"/>
              </w:rPr>
              <w:t>2013年12月）；</w:t>
            </w:r>
            <w:r>
              <w:rPr>
                <w:rFonts w:hint="eastAsia"/>
                <w:color w:val="000000"/>
                <w:kern w:val="0"/>
                <w:sz w:val="24"/>
                <w:szCs w:val="24"/>
              </w:rPr>
              <w:t>《森林抚育规程》（</w:t>
            </w:r>
            <w:r>
              <w:rPr>
                <w:color w:val="000000"/>
                <w:kern w:val="0"/>
                <w:sz w:val="24"/>
                <w:szCs w:val="24"/>
              </w:rPr>
              <w:t>GB/T15781～2015）；</w:t>
            </w:r>
            <w:r>
              <w:rPr>
                <w:rFonts w:hint="eastAsia"/>
                <w:color w:val="000000"/>
                <w:kern w:val="0"/>
                <w:sz w:val="24"/>
                <w:szCs w:val="24"/>
              </w:rPr>
              <w:t>《造林技术规程》（</w:t>
            </w:r>
            <w:r>
              <w:rPr>
                <w:color w:val="000000"/>
                <w:kern w:val="0"/>
                <w:sz w:val="24"/>
                <w:szCs w:val="24"/>
              </w:rPr>
              <w:t>GB/T15776～2016）；</w:t>
            </w:r>
            <w:r>
              <w:rPr>
                <w:rFonts w:hint="eastAsia"/>
                <w:color w:val="000000"/>
                <w:kern w:val="0"/>
                <w:sz w:val="24"/>
                <w:szCs w:val="24"/>
              </w:rPr>
              <w:t>《造林质量管理暂行办法》；《大径级用材林培育导则》（</w:t>
            </w:r>
            <w:r>
              <w:rPr>
                <w:color w:val="000000"/>
                <w:kern w:val="0"/>
                <w:sz w:val="24"/>
                <w:szCs w:val="24"/>
              </w:rPr>
              <w:t>LY/T2118）《林区公路工程技术标准》（LY5104－98）</w:t>
            </w:r>
            <w:r>
              <w:rPr>
                <w:rFonts w:hint="eastAsia"/>
                <w:color w:val="000000"/>
                <w:kern w:val="0"/>
                <w:sz w:val="24"/>
                <w:szCs w:val="24"/>
              </w:rPr>
              <w:t>；《林业固定资产投资建设项目管理办法》；《全国木材战略储备生产基地检查验收管理办法》；</w:t>
            </w:r>
          </w:p>
          <w:p>
            <w:pPr>
              <w:tabs>
                <w:tab w:val="clear" w:pos="3261"/>
                <w:tab w:val="clear" w:pos="4536"/>
              </w:tabs>
              <w:ind w:firstLine="0" w:firstLineChars="0"/>
              <w:rPr>
                <w:color w:val="000000"/>
                <w:kern w:val="0"/>
                <w:sz w:val="24"/>
                <w:szCs w:val="24"/>
              </w:rPr>
            </w:pPr>
            <w:r>
              <w:rPr>
                <w:rFonts w:hint="eastAsia"/>
                <w:color w:val="000000"/>
                <w:kern w:val="0"/>
                <w:sz w:val="24"/>
                <w:szCs w:val="24"/>
              </w:rPr>
              <w:t>《林业建设项目竣工验收细则》等。</w:t>
            </w:r>
          </w:p>
          <w:p>
            <w:pPr>
              <w:tabs>
                <w:tab w:val="clear" w:pos="3261"/>
                <w:tab w:val="clear" w:pos="4536"/>
              </w:tabs>
              <w:ind w:firstLine="0" w:firstLineChars="0"/>
              <w:rPr>
                <w:color w:val="000000"/>
                <w:kern w:val="0"/>
                <w:sz w:val="24"/>
                <w:szCs w:val="24"/>
              </w:rPr>
            </w:pPr>
            <w:r>
              <w:rPr>
                <w:rFonts w:hint="eastAsia"/>
                <w:color w:val="000000"/>
                <w:kern w:val="0"/>
                <w:sz w:val="24"/>
                <w:szCs w:val="24"/>
              </w:rPr>
              <w:t>符合设计文件及相关规范要求，通过竣工验收。</w:t>
            </w:r>
          </w:p>
        </w:tc>
        <w:tc>
          <w:tcPr>
            <w:tcW w:w="5051" w:type="dxa"/>
          </w:tcPr>
          <w:p>
            <w:pPr>
              <w:tabs>
                <w:tab w:val="clear" w:pos="3261"/>
                <w:tab w:val="clear" w:pos="4536"/>
              </w:tabs>
              <w:ind w:firstLine="0" w:firstLineChars="0"/>
              <w:rPr>
                <w:color w:val="000000"/>
                <w:kern w:val="0"/>
                <w:sz w:val="24"/>
                <w:szCs w:val="24"/>
              </w:rPr>
            </w:pPr>
            <w:r>
              <w:rPr>
                <w:rFonts w:hint="eastAsia"/>
                <w:color w:val="000000"/>
                <w:kern w:val="0"/>
                <w:sz w:val="24"/>
                <w:szCs w:val="24"/>
              </w:rPr>
              <w:t>建设过程中：</w:t>
            </w:r>
          </w:p>
          <w:p>
            <w:pPr>
              <w:tabs>
                <w:tab w:val="clear" w:pos="3261"/>
                <w:tab w:val="clear" w:pos="4536"/>
              </w:tabs>
              <w:ind w:firstLine="0" w:firstLineChars="0"/>
              <w:rPr>
                <w:color w:val="000000"/>
                <w:kern w:val="0"/>
                <w:sz w:val="24"/>
                <w:szCs w:val="24"/>
              </w:rPr>
            </w:pPr>
            <w:r>
              <w:rPr>
                <w:rFonts w:hint="eastAsia"/>
                <w:color w:val="000000"/>
                <w:kern w:val="0"/>
                <w:sz w:val="24"/>
                <w:szCs w:val="24"/>
              </w:rPr>
              <w:t>①苗木、原材料检验，每有一项不合格扣0.5</w:t>
            </w:r>
            <w:r>
              <w:rPr>
                <w:color w:val="000000"/>
                <w:kern w:val="0"/>
                <w:sz w:val="24"/>
                <w:szCs w:val="24"/>
              </w:rPr>
              <w:t>分。</w:t>
            </w:r>
          </w:p>
          <w:p>
            <w:pPr>
              <w:tabs>
                <w:tab w:val="clear" w:pos="3261"/>
                <w:tab w:val="clear" w:pos="4536"/>
              </w:tabs>
              <w:ind w:firstLine="0" w:firstLineChars="0"/>
              <w:rPr>
                <w:color w:val="000000"/>
                <w:kern w:val="0"/>
                <w:sz w:val="24"/>
                <w:szCs w:val="24"/>
              </w:rPr>
            </w:pPr>
            <w:r>
              <w:rPr>
                <w:rFonts w:hint="eastAsia"/>
                <w:color w:val="000000"/>
                <w:kern w:val="0"/>
                <w:sz w:val="24"/>
                <w:szCs w:val="24"/>
              </w:rPr>
              <w:t>②每有一处存活率≤</w:t>
            </w:r>
            <w:r>
              <w:rPr>
                <w:color w:val="000000"/>
                <w:kern w:val="0"/>
                <w:sz w:val="24"/>
                <w:szCs w:val="24"/>
              </w:rPr>
              <w:t>85%的小班扣</w:t>
            </w:r>
            <w:r>
              <w:rPr>
                <w:rFonts w:hint="eastAsia"/>
                <w:color w:val="000000"/>
                <w:kern w:val="0"/>
                <w:sz w:val="24"/>
                <w:szCs w:val="24"/>
              </w:rPr>
              <w:t>1</w:t>
            </w:r>
            <w:r>
              <w:rPr>
                <w:color w:val="000000"/>
                <w:kern w:val="0"/>
                <w:sz w:val="24"/>
                <w:szCs w:val="24"/>
              </w:rPr>
              <w:t>分。</w:t>
            </w:r>
          </w:p>
          <w:p>
            <w:pPr>
              <w:tabs>
                <w:tab w:val="clear" w:pos="3261"/>
                <w:tab w:val="clear" w:pos="4536"/>
              </w:tabs>
              <w:ind w:firstLine="0" w:firstLineChars="0"/>
              <w:rPr>
                <w:color w:val="000000"/>
                <w:kern w:val="0"/>
                <w:sz w:val="24"/>
                <w:szCs w:val="24"/>
              </w:rPr>
            </w:pPr>
            <w:r>
              <w:rPr>
                <w:rFonts w:hint="eastAsia"/>
                <w:color w:val="000000"/>
                <w:kern w:val="0"/>
                <w:sz w:val="24"/>
                <w:szCs w:val="24"/>
              </w:rPr>
              <w:t>③未按规范施工及作业，每有一项扣0.5</w:t>
            </w:r>
            <w:r>
              <w:rPr>
                <w:color w:val="000000"/>
                <w:kern w:val="0"/>
                <w:sz w:val="24"/>
                <w:szCs w:val="24"/>
              </w:rPr>
              <w:t>分。</w:t>
            </w:r>
          </w:p>
          <w:p>
            <w:pPr>
              <w:tabs>
                <w:tab w:val="clear" w:pos="3261"/>
                <w:tab w:val="clear" w:pos="4536"/>
              </w:tabs>
              <w:ind w:firstLine="0" w:firstLineChars="0"/>
              <w:rPr>
                <w:color w:val="000000"/>
                <w:kern w:val="0"/>
                <w:sz w:val="24"/>
                <w:szCs w:val="24"/>
              </w:rPr>
            </w:pPr>
            <w:r>
              <w:rPr>
                <w:rFonts w:hint="eastAsia"/>
                <w:color w:val="000000"/>
                <w:kern w:val="0"/>
                <w:sz w:val="24"/>
                <w:szCs w:val="24"/>
              </w:rPr>
              <w:t>④每有一次监理工程师签发的返工通知，扣0.5</w:t>
            </w:r>
            <w:r>
              <w:rPr>
                <w:color w:val="000000"/>
                <w:kern w:val="0"/>
                <w:sz w:val="24"/>
                <w:szCs w:val="24"/>
              </w:rPr>
              <w:t>分。</w:t>
            </w:r>
          </w:p>
          <w:p>
            <w:pPr>
              <w:tabs>
                <w:tab w:val="clear" w:pos="3261"/>
                <w:tab w:val="clear" w:pos="4536"/>
              </w:tabs>
              <w:ind w:firstLine="0" w:firstLineChars="0"/>
              <w:rPr>
                <w:color w:val="000000"/>
                <w:kern w:val="0"/>
                <w:sz w:val="24"/>
                <w:szCs w:val="24"/>
              </w:rPr>
            </w:pPr>
            <w:r>
              <w:rPr>
                <w:rFonts w:hint="eastAsia"/>
                <w:color w:val="000000"/>
                <w:kern w:val="0"/>
                <w:sz w:val="24"/>
                <w:szCs w:val="24"/>
              </w:rPr>
              <w:t>以上①—④项没有限期整改或整改不到位，一项扣2</w:t>
            </w:r>
            <w:r>
              <w:rPr>
                <w:color w:val="000000"/>
                <w:kern w:val="0"/>
                <w:sz w:val="24"/>
                <w:szCs w:val="24"/>
              </w:rPr>
              <w:t>分。</w:t>
            </w:r>
          </w:p>
        </w:tc>
        <w:tc>
          <w:tcPr>
            <w:tcW w:w="709" w:type="dxa"/>
          </w:tcPr>
          <w:p>
            <w:pPr>
              <w:tabs>
                <w:tab w:val="clear" w:pos="3261"/>
                <w:tab w:val="clear" w:pos="4536"/>
              </w:tabs>
              <w:ind w:firstLine="0" w:firstLineChars="0"/>
              <w:rPr>
                <w:color w:val="000000"/>
                <w:kern w:val="0"/>
                <w:sz w:val="24"/>
                <w:szCs w:val="24"/>
              </w:rPr>
            </w:pPr>
            <w:r>
              <w:rPr>
                <w:rFonts w:hint="eastAsia"/>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3</w:t>
            </w:r>
          </w:p>
        </w:tc>
        <w:tc>
          <w:tcPr>
            <w:tcW w:w="1375"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建设进度</w:t>
            </w:r>
          </w:p>
        </w:tc>
        <w:tc>
          <w:tcPr>
            <w:tcW w:w="6069" w:type="dxa"/>
            <w:vAlign w:val="center"/>
          </w:tcPr>
          <w:p>
            <w:pPr>
              <w:tabs>
                <w:tab w:val="clear" w:pos="3261"/>
                <w:tab w:val="clear" w:pos="4536"/>
              </w:tabs>
              <w:ind w:firstLine="0" w:firstLineChars="0"/>
              <w:rPr>
                <w:color w:val="000000"/>
                <w:kern w:val="0"/>
                <w:sz w:val="24"/>
                <w:szCs w:val="24"/>
              </w:rPr>
            </w:pPr>
            <w:r>
              <w:rPr>
                <w:rFonts w:hint="eastAsia"/>
                <w:color w:val="000000"/>
                <w:kern w:val="0"/>
                <w:sz w:val="24"/>
                <w:szCs w:val="24"/>
              </w:rPr>
              <w:t>开工日：指监理单位下达的开工令中写明的开工日期；</w:t>
            </w:r>
          </w:p>
          <w:p>
            <w:pPr>
              <w:tabs>
                <w:tab w:val="clear" w:pos="3261"/>
                <w:tab w:val="clear" w:pos="4536"/>
              </w:tabs>
              <w:ind w:firstLine="0" w:firstLineChars="0"/>
              <w:rPr>
                <w:color w:val="000000"/>
                <w:kern w:val="0"/>
                <w:sz w:val="24"/>
                <w:szCs w:val="24"/>
              </w:rPr>
            </w:pPr>
            <w:r>
              <w:rPr>
                <w:rFonts w:hint="eastAsia"/>
                <w:color w:val="000000"/>
                <w:kern w:val="0"/>
                <w:sz w:val="24"/>
                <w:szCs w:val="24"/>
              </w:rPr>
              <w:t>竣工验收日：行业主管部门出具通过竣工验收报告之日；</w:t>
            </w:r>
          </w:p>
          <w:p>
            <w:pPr>
              <w:tabs>
                <w:tab w:val="clear" w:pos="3261"/>
                <w:tab w:val="clear" w:pos="4536"/>
              </w:tabs>
              <w:ind w:firstLine="0" w:firstLineChars="0"/>
              <w:rPr>
                <w:color w:val="000000"/>
                <w:kern w:val="0"/>
                <w:sz w:val="24"/>
                <w:szCs w:val="24"/>
              </w:rPr>
            </w:pPr>
            <w:r>
              <w:rPr>
                <w:rFonts w:hint="eastAsia"/>
                <w:color w:val="000000"/>
                <w:kern w:val="0"/>
                <w:sz w:val="24"/>
                <w:szCs w:val="24"/>
              </w:rPr>
              <w:t>项目自开工日起至竣工验收合格日不超过六年。</w:t>
            </w:r>
          </w:p>
          <w:p>
            <w:pPr>
              <w:tabs>
                <w:tab w:val="clear" w:pos="3261"/>
                <w:tab w:val="clear" w:pos="4536"/>
              </w:tabs>
              <w:ind w:firstLine="0" w:firstLineChars="0"/>
              <w:rPr>
                <w:color w:val="000000"/>
                <w:kern w:val="0"/>
                <w:sz w:val="24"/>
                <w:szCs w:val="24"/>
              </w:rPr>
            </w:pPr>
            <w:r>
              <w:rPr>
                <w:rFonts w:hint="eastAsia"/>
                <w:color w:val="000000"/>
                <w:kern w:val="0"/>
                <w:sz w:val="24"/>
                <w:szCs w:val="24"/>
              </w:rPr>
              <w:t>建设进度完成率：项目公司须确保工程按期完工，同时相关部门须尽力配合；</w:t>
            </w:r>
          </w:p>
        </w:tc>
        <w:tc>
          <w:tcPr>
            <w:tcW w:w="5051" w:type="dxa"/>
          </w:tcPr>
          <w:p>
            <w:pPr>
              <w:tabs>
                <w:tab w:val="clear" w:pos="3261"/>
                <w:tab w:val="clear" w:pos="4536"/>
              </w:tabs>
              <w:ind w:firstLine="0" w:firstLineChars="0"/>
              <w:rPr>
                <w:color w:val="000000"/>
                <w:kern w:val="0"/>
                <w:sz w:val="24"/>
                <w:szCs w:val="24"/>
              </w:rPr>
            </w:pPr>
            <w:r>
              <w:rPr>
                <w:rFonts w:hint="eastAsia"/>
                <w:color w:val="000000"/>
                <w:kern w:val="0"/>
                <w:sz w:val="24"/>
                <w:szCs w:val="24"/>
              </w:rPr>
              <w:t>按照项目公司提供的施工总进度计划关键线路的关键节点进行考核。除政府方原因、不可抗力原因以及政府方同意的情况外，若无正当理由每次关键节点未能按施工总进度计划完成的扣2</w:t>
            </w:r>
            <w:r>
              <w:rPr>
                <w:color w:val="000000"/>
                <w:kern w:val="0"/>
                <w:sz w:val="24"/>
                <w:szCs w:val="24"/>
              </w:rPr>
              <w:t>分。</w:t>
            </w:r>
          </w:p>
        </w:tc>
        <w:tc>
          <w:tcPr>
            <w:tcW w:w="709" w:type="dxa"/>
          </w:tcPr>
          <w:p>
            <w:pPr>
              <w:tabs>
                <w:tab w:val="clear" w:pos="3261"/>
                <w:tab w:val="clear" w:pos="4536"/>
              </w:tabs>
              <w:ind w:firstLine="0" w:firstLineChars="0"/>
              <w:rPr>
                <w:color w:val="000000"/>
                <w:kern w:val="0"/>
                <w:sz w:val="24"/>
                <w:szCs w:val="24"/>
              </w:rPr>
            </w:pPr>
            <w:r>
              <w:rPr>
                <w:rFonts w:hint="eastAsia"/>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4</w:t>
            </w:r>
          </w:p>
        </w:tc>
        <w:tc>
          <w:tcPr>
            <w:tcW w:w="1375" w:type="dxa"/>
            <w:vAlign w:val="center"/>
          </w:tcPr>
          <w:p>
            <w:pPr>
              <w:tabs>
                <w:tab w:val="clear" w:pos="3261"/>
                <w:tab w:val="clear" w:pos="4536"/>
              </w:tabs>
              <w:ind w:firstLine="0" w:firstLineChars="0"/>
              <w:jc w:val="center"/>
              <w:rPr>
                <w:color w:val="000000"/>
                <w:kern w:val="0"/>
                <w:sz w:val="24"/>
                <w:szCs w:val="24"/>
              </w:rPr>
            </w:pPr>
            <w:r>
              <w:rPr>
                <w:color w:val="000000"/>
                <w:kern w:val="0"/>
                <w:sz w:val="24"/>
                <w:szCs w:val="24"/>
              </w:rPr>
              <w:t>建设</w:t>
            </w:r>
            <w:r>
              <w:rPr>
                <w:rFonts w:hint="eastAsia"/>
                <w:color w:val="000000"/>
                <w:kern w:val="0"/>
                <w:sz w:val="24"/>
                <w:szCs w:val="24"/>
              </w:rPr>
              <w:t>成本</w:t>
            </w:r>
          </w:p>
        </w:tc>
        <w:tc>
          <w:tcPr>
            <w:tcW w:w="6069" w:type="dxa"/>
            <w:vAlign w:val="center"/>
          </w:tcPr>
          <w:p>
            <w:pPr>
              <w:tabs>
                <w:tab w:val="clear" w:pos="3261"/>
                <w:tab w:val="clear" w:pos="4536"/>
              </w:tabs>
              <w:ind w:firstLine="0" w:firstLineChars="0"/>
              <w:rPr>
                <w:color w:val="000000"/>
                <w:kern w:val="0"/>
                <w:sz w:val="24"/>
                <w:szCs w:val="24"/>
              </w:rPr>
            </w:pPr>
            <w:r>
              <w:rPr>
                <w:rFonts w:hint="eastAsia"/>
                <w:color w:val="000000"/>
                <w:kern w:val="0"/>
                <w:sz w:val="24"/>
                <w:szCs w:val="24"/>
              </w:rPr>
              <w:t>在建设内容、建设标准不作调整的前提下，已经批复的项目可研静态总投资估算</w:t>
            </w:r>
            <w:r>
              <w:rPr>
                <w:color w:val="000000"/>
                <w:kern w:val="0"/>
                <w:sz w:val="24"/>
                <w:szCs w:val="24"/>
              </w:rPr>
              <w:t>/概算金额与实际工程投</w:t>
            </w:r>
            <w:r>
              <w:rPr>
                <w:rFonts w:hint="eastAsia"/>
                <w:color w:val="000000"/>
                <w:kern w:val="0"/>
                <w:sz w:val="24"/>
                <w:szCs w:val="24"/>
              </w:rPr>
              <w:t>资需求偏差。</w:t>
            </w:r>
          </w:p>
          <w:p>
            <w:pPr>
              <w:tabs>
                <w:tab w:val="clear" w:pos="3261"/>
                <w:tab w:val="clear" w:pos="4536"/>
              </w:tabs>
              <w:ind w:firstLine="0" w:firstLineChars="0"/>
              <w:rPr>
                <w:color w:val="000000"/>
                <w:kern w:val="0"/>
                <w:sz w:val="24"/>
                <w:szCs w:val="24"/>
              </w:rPr>
            </w:pPr>
            <w:r>
              <w:rPr>
                <w:rFonts w:hint="eastAsia"/>
                <w:color w:val="000000"/>
                <w:kern w:val="0"/>
                <w:sz w:val="24"/>
                <w:szCs w:val="24"/>
              </w:rPr>
              <w:t>在确保项目质量的情况下，需尽量节减项目成本费用。</w:t>
            </w:r>
          </w:p>
        </w:tc>
        <w:tc>
          <w:tcPr>
            <w:tcW w:w="5051" w:type="dxa"/>
          </w:tcPr>
          <w:p>
            <w:pPr>
              <w:tabs>
                <w:tab w:val="clear" w:pos="3261"/>
                <w:tab w:val="clear" w:pos="4536"/>
              </w:tabs>
              <w:ind w:firstLine="0" w:firstLineChars="0"/>
              <w:rPr>
                <w:color w:val="000000"/>
                <w:kern w:val="0"/>
                <w:sz w:val="24"/>
                <w:szCs w:val="24"/>
              </w:rPr>
            </w:pPr>
            <w:r>
              <w:rPr>
                <w:rFonts w:hint="eastAsia"/>
                <w:color w:val="000000"/>
                <w:kern w:val="0"/>
                <w:sz w:val="24"/>
                <w:szCs w:val="24"/>
              </w:rPr>
              <w:t>偏差</w:t>
            </w:r>
            <w:r>
              <w:rPr>
                <w:color w:val="000000"/>
                <w:kern w:val="0"/>
                <w:sz w:val="24"/>
                <w:szCs w:val="24"/>
              </w:rPr>
              <w:t>10%以内不扣分，</w:t>
            </w:r>
            <w:r>
              <w:rPr>
                <w:rFonts w:hint="eastAsia"/>
                <w:color w:val="000000"/>
                <w:kern w:val="0"/>
                <w:sz w:val="24"/>
                <w:szCs w:val="24"/>
              </w:rPr>
              <w:t>除政府方原因、不可抗力原因以及政府方同意变更导致项目成本增加的情况外，若无正当</w:t>
            </w:r>
            <w:r>
              <w:rPr>
                <w:color w:val="000000"/>
                <w:kern w:val="0"/>
                <w:sz w:val="24"/>
                <w:szCs w:val="24"/>
              </w:rPr>
              <w:t>原因导致</w:t>
            </w:r>
            <w:r>
              <w:rPr>
                <w:rFonts w:hint="eastAsia"/>
                <w:color w:val="000000"/>
                <w:kern w:val="0"/>
                <w:sz w:val="24"/>
                <w:szCs w:val="24"/>
              </w:rPr>
              <w:t>偏差大于</w:t>
            </w:r>
            <w:r>
              <w:rPr>
                <w:color w:val="000000"/>
                <w:kern w:val="0"/>
                <w:sz w:val="24"/>
                <w:szCs w:val="24"/>
              </w:rPr>
              <w:t>10%，偏差率</w:t>
            </w:r>
            <w:r>
              <w:rPr>
                <w:rFonts w:hint="eastAsia"/>
                <w:color w:val="000000"/>
                <w:kern w:val="0"/>
                <w:sz w:val="24"/>
                <w:szCs w:val="24"/>
              </w:rPr>
              <w:t>每增加5%个点扣1分</w:t>
            </w:r>
            <w:r>
              <w:rPr>
                <w:color w:val="000000"/>
                <w:kern w:val="0"/>
                <w:sz w:val="24"/>
                <w:szCs w:val="24"/>
              </w:rPr>
              <w:t>。</w:t>
            </w:r>
          </w:p>
        </w:tc>
        <w:tc>
          <w:tcPr>
            <w:tcW w:w="709" w:type="dxa"/>
          </w:tcPr>
          <w:p>
            <w:pPr>
              <w:tabs>
                <w:tab w:val="clear" w:pos="3261"/>
                <w:tab w:val="clear" w:pos="4536"/>
              </w:tabs>
              <w:ind w:firstLine="0" w:firstLineChars="0"/>
              <w:rPr>
                <w:color w:val="000000"/>
                <w:kern w:val="0"/>
                <w:sz w:val="24"/>
                <w:szCs w:val="24"/>
              </w:rPr>
            </w:pPr>
            <w:r>
              <w:rPr>
                <w:rFonts w:hint="eastAsia"/>
                <w:color w:val="00000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5</w:t>
            </w:r>
          </w:p>
        </w:tc>
        <w:tc>
          <w:tcPr>
            <w:tcW w:w="1375"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环境保护</w:t>
            </w:r>
          </w:p>
        </w:tc>
        <w:tc>
          <w:tcPr>
            <w:tcW w:w="6069" w:type="dxa"/>
            <w:vAlign w:val="center"/>
          </w:tcPr>
          <w:p>
            <w:pPr>
              <w:tabs>
                <w:tab w:val="clear" w:pos="3261"/>
                <w:tab w:val="clear" w:pos="4536"/>
              </w:tabs>
              <w:ind w:firstLine="0" w:firstLineChars="0"/>
              <w:rPr>
                <w:color w:val="000000"/>
                <w:kern w:val="0"/>
                <w:sz w:val="24"/>
                <w:szCs w:val="24"/>
              </w:rPr>
            </w:pPr>
            <w:r>
              <w:rPr>
                <w:rFonts w:hint="eastAsia"/>
                <w:color w:val="000000"/>
                <w:kern w:val="0"/>
                <w:sz w:val="24"/>
                <w:szCs w:val="24"/>
              </w:rPr>
              <w:t>《中华人民共和国环境保护法》；《中华人民共和国大气污染防治法》；《中华人民共和国环境影响评价法》；</w:t>
            </w:r>
          </w:p>
          <w:p>
            <w:pPr>
              <w:tabs>
                <w:tab w:val="clear" w:pos="3261"/>
                <w:tab w:val="clear" w:pos="4536"/>
              </w:tabs>
              <w:ind w:firstLine="0" w:firstLineChars="0"/>
              <w:rPr>
                <w:color w:val="000000"/>
                <w:kern w:val="0"/>
                <w:sz w:val="24"/>
                <w:szCs w:val="24"/>
              </w:rPr>
            </w:pPr>
            <w:r>
              <w:rPr>
                <w:rFonts w:hint="eastAsia"/>
                <w:color w:val="000000"/>
                <w:kern w:val="0"/>
                <w:sz w:val="24"/>
                <w:szCs w:val="24"/>
              </w:rPr>
              <w:t>《中华人民共和国水土保持法》；《中华人民共和国水污染防治法》；《中华人民共和国固体废弃物污染防治法》；《建设项目环境保护管理条例》；《环境空气质量标准》；《地表水环境质量标准》；《声环境质量标准》；《大气污染物综合排放标准》；《关于公布（建设项目环境保护分类管理名录）》；《河南省建设项目环境保护条例》及相关法律法规、标准规范等。</w:t>
            </w:r>
          </w:p>
        </w:tc>
        <w:tc>
          <w:tcPr>
            <w:tcW w:w="5051" w:type="dxa"/>
          </w:tcPr>
          <w:p>
            <w:pPr>
              <w:tabs>
                <w:tab w:val="clear" w:pos="3261"/>
                <w:tab w:val="clear" w:pos="4536"/>
              </w:tabs>
              <w:ind w:firstLine="0" w:firstLineChars="0"/>
              <w:rPr>
                <w:color w:val="000000"/>
                <w:kern w:val="0"/>
                <w:sz w:val="24"/>
                <w:szCs w:val="24"/>
              </w:rPr>
            </w:pPr>
            <w:r>
              <w:rPr>
                <w:rFonts w:hint="eastAsia"/>
                <w:color w:val="000000"/>
                <w:kern w:val="0"/>
                <w:sz w:val="24"/>
                <w:szCs w:val="24"/>
              </w:rPr>
              <w:t>根据环保部门及政府相关部门核查情况，发现一处不合格扣</w:t>
            </w:r>
            <w:r>
              <w:rPr>
                <w:color w:val="000000"/>
                <w:kern w:val="0"/>
                <w:sz w:val="24"/>
                <w:szCs w:val="24"/>
              </w:rPr>
              <w:t>2分；被通报批评一次</w:t>
            </w:r>
            <w:r>
              <w:rPr>
                <w:rFonts w:hint="eastAsia"/>
                <w:color w:val="000000"/>
                <w:kern w:val="0"/>
                <w:sz w:val="24"/>
                <w:szCs w:val="24"/>
              </w:rPr>
              <w:t>扣</w:t>
            </w:r>
            <w:r>
              <w:rPr>
                <w:color w:val="000000"/>
                <w:kern w:val="0"/>
                <w:sz w:val="24"/>
                <w:szCs w:val="24"/>
              </w:rPr>
              <w:t>10分；</w:t>
            </w:r>
          </w:p>
        </w:tc>
        <w:tc>
          <w:tcPr>
            <w:tcW w:w="709" w:type="dxa"/>
          </w:tcPr>
          <w:p>
            <w:pPr>
              <w:tabs>
                <w:tab w:val="clear" w:pos="3261"/>
                <w:tab w:val="clear" w:pos="4536"/>
              </w:tabs>
              <w:ind w:firstLine="0" w:firstLineChars="0"/>
              <w:rPr>
                <w:color w:val="000000"/>
                <w:kern w:val="0"/>
                <w:sz w:val="24"/>
                <w:szCs w:val="24"/>
              </w:rPr>
            </w:pPr>
            <w:r>
              <w:rPr>
                <w:rFonts w:hint="eastAsia"/>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6</w:t>
            </w:r>
          </w:p>
        </w:tc>
        <w:tc>
          <w:tcPr>
            <w:tcW w:w="1375" w:type="dxa"/>
            <w:vAlign w:val="center"/>
          </w:tcPr>
          <w:p>
            <w:pPr>
              <w:tabs>
                <w:tab w:val="clear" w:pos="3261"/>
                <w:tab w:val="clear" w:pos="4536"/>
              </w:tabs>
              <w:ind w:firstLine="0" w:firstLineChars="0"/>
              <w:jc w:val="center"/>
              <w:rPr>
                <w:color w:val="000000"/>
                <w:kern w:val="0"/>
                <w:sz w:val="24"/>
                <w:szCs w:val="24"/>
              </w:rPr>
            </w:pPr>
            <w:r>
              <w:rPr>
                <w:rFonts w:hint="eastAsia"/>
                <w:color w:val="000000"/>
                <w:kern w:val="0"/>
                <w:sz w:val="24"/>
                <w:szCs w:val="24"/>
              </w:rPr>
              <w:t>安全生产及森林防火</w:t>
            </w:r>
          </w:p>
        </w:tc>
        <w:tc>
          <w:tcPr>
            <w:tcW w:w="6069" w:type="dxa"/>
            <w:vAlign w:val="center"/>
          </w:tcPr>
          <w:p>
            <w:pPr>
              <w:tabs>
                <w:tab w:val="clear" w:pos="3261"/>
                <w:tab w:val="clear" w:pos="4536"/>
              </w:tabs>
              <w:ind w:firstLine="0" w:firstLineChars="0"/>
              <w:rPr>
                <w:color w:val="000000"/>
                <w:kern w:val="0"/>
                <w:sz w:val="24"/>
                <w:szCs w:val="24"/>
              </w:rPr>
            </w:pPr>
            <w:r>
              <w:rPr>
                <w:rFonts w:hint="eastAsia"/>
                <w:color w:val="000000"/>
                <w:kern w:val="0"/>
                <w:sz w:val="24"/>
                <w:szCs w:val="24"/>
              </w:rPr>
              <w:t>《中华人民共和国安全生产法》；《中华人民共和国消防法》；《职业安全和卫生及工作环境公约》；《劳动防护用品选用规则》；《消防安全管理规定》；《建筑施工安全检查标准》；《建设项目（工程）劳动安全卫生监察规定》（劳动部第</w:t>
            </w:r>
            <w:r>
              <w:rPr>
                <w:color w:val="000000"/>
                <w:kern w:val="0"/>
                <w:sz w:val="24"/>
                <w:szCs w:val="24"/>
              </w:rPr>
              <w:t xml:space="preserve"> 3 号令1996年10月）及相关法律法规、标准规范</w:t>
            </w:r>
            <w:r>
              <w:rPr>
                <w:rFonts w:hint="eastAsia"/>
                <w:color w:val="000000"/>
                <w:kern w:val="0"/>
                <w:sz w:val="24"/>
                <w:szCs w:val="24"/>
              </w:rPr>
              <w:t>；《国家森林火灾应急预案》；</w:t>
            </w:r>
          </w:p>
          <w:p>
            <w:pPr>
              <w:tabs>
                <w:tab w:val="clear" w:pos="3261"/>
                <w:tab w:val="clear" w:pos="4536"/>
              </w:tabs>
              <w:ind w:firstLine="0" w:firstLineChars="0"/>
              <w:rPr>
                <w:color w:val="000000"/>
                <w:kern w:val="0"/>
                <w:sz w:val="24"/>
                <w:szCs w:val="24"/>
              </w:rPr>
            </w:pPr>
            <w:r>
              <w:rPr>
                <w:rFonts w:hint="eastAsia"/>
                <w:color w:val="000000"/>
                <w:kern w:val="0"/>
                <w:sz w:val="24"/>
                <w:szCs w:val="24"/>
              </w:rPr>
              <w:t>《森林防火条例》等。不允许出现重大安全事故。</w:t>
            </w:r>
          </w:p>
        </w:tc>
        <w:tc>
          <w:tcPr>
            <w:tcW w:w="5051" w:type="dxa"/>
          </w:tcPr>
          <w:p>
            <w:pPr>
              <w:tabs>
                <w:tab w:val="clear" w:pos="3261"/>
                <w:tab w:val="clear" w:pos="4536"/>
              </w:tabs>
              <w:ind w:firstLine="0" w:firstLineChars="0"/>
              <w:rPr>
                <w:color w:val="000000"/>
                <w:kern w:val="0"/>
                <w:sz w:val="24"/>
                <w:szCs w:val="24"/>
              </w:rPr>
            </w:pPr>
            <w:r>
              <w:rPr>
                <w:rFonts w:hint="eastAsia"/>
                <w:color w:val="000000"/>
                <w:kern w:val="0"/>
                <w:sz w:val="24"/>
                <w:szCs w:val="24"/>
              </w:rPr>
              <w:t>发生一般安全事件每次扣</w:t>
            </w:r>
            <w:r>
              <w:rPr>
                <w:color w:val="000000"/>
                <w:kern w:val="0"/>
                <w:sz w:val="24"/>
                <w:szCs w:val="24"/>
              </w:rPr>
              <w:t>5分；发生较大安</w:t>
            </w:r>
            <w:r>
              <w:rPr>
                <w:rFonts w:hint="eastAsia"/>
                <w:color w:val="000000"/>
                <w:kern w:val="0"/>
                <w:sz w:val="24"/>
                <w:szCs w:val="24"/>
              </w:rPr>
              <w:t>全事件每次扣</w:t>
            </w:r>
            <w:r>
              <w:rPr>
                <w:color w:val="000000"/>
                <w:kern w:val="0"/>
                <w:sz w:val="24"/>
                <w:szCs w:val="24"/>
              </w:rPr>
              <w:t>10分；发生重大安全事故不得</w:t>
            </w:r>
            <w:r>
              <w:rPr>
                <w:rFonts w:hint="eastAsia"/>
                <w:color w:val="000000"/>
                <w:kern w:val="0"/>
                <w:sz w:val="24"/>
                <w:szCs w:val="24"/>
              </w:rPr>
              <w:t>分。</w:t>
            </w:r>
          </w:p>
        </w:tc>
        <w:tc>
          <w:tcPr>
            <w:tcW w:w="709" w:type="dxa"/>
          </w:tcPr>
          <w:p>
            <w:pPr>
              <w:tabs>
                <w:tab w:val="clear" w:pos="3261"/>
                <w:tab w:val="clear" w:pos="4536"/>
              </w:tabs>
              <w:ind w:firstLine="0" w:firstLineChars="0"/>
              <w:rPr>
                <w:color w:val="000000"/>
                <w:kern w:val="0"/>
                <w:sz w:val="24"/>
                <w:szCs w:val="24"/>
              </w:rPr>
            </w:pPr>
            <w:r>
              <w:rPr>
                <w:rFonts w:hint="eastAsia"/>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0" w:type="dxa"/>
            <w:gridSpan w:val="5"/>
            <w:vAlign w:val="center"/>
          </w:tcPr>
          <w:p>
            <w:pPr>
              <w:tabs>
                <w:tab w:val="clear" w:pos="3261"/>
                <w:tab w:val="clear" w:pos="4536"/>
              </w:tabs>
              <w:ind w:firstLine="0" w:firstLineChars="0"/>
              <w:rPr>
                <w:color w:val="000000"/>
                <w:kern w:val="0"/>
                <w:sz w:val="24"/>
                <w:szCs w:val="24"/>
              </w:rPr>
            </w:pPr>
            <w:r>
              <w:rPr>
                <w:rFonts w:hint="eastAsia"/>
                <w:color w:val="000000"/>
                <w:kern w:val="0"/>
                <w:sz w:val="24"/>
                <w:szCs w:val="24"/>
              </w:rPr>
              <w:t>注：1、若国家、省、市出台具体考核办法或新的相关规定，则上表中与之不一致的或未作约定的或约定不明的，以新出台标准为准进行调整执行。</w:t>
            </w:r>
          </w:p>
          <w:p>
            <w:pPr>
              <w:tabs>
                <w:tab w:val="clear" w:pos="3261"/>
                <w:tab w:val="clear" w:pos="4536"/>
              </w:tabs>
              <w:ind w:firstLine="0" w:firstLineChars="0"/>
              <w:rPr>
                <w:color w:val="000000"/>
                <w:kern w:val="0"/>
                <w:sz w:val="24"/>
                <w:szCs w:val="24"/>
              </w:rPr>
            </w:pPr>
            <w:r>
              <w:rPr>
                <w:rFonts w:hint="eastAsia"/>
                <w:color w:val="000000"/>
                <w:kern w:val="0"/>
                <w:sz w:val="24"/>
                <w:szCs w:val="24"/>
              </w:rPr>
              <w:t>2、项目执行阶段应在本表基础上对考核内容和评分标准进行修改、细化或补充，以项目实施机构、财政部门等组成的绩效考核小组确定的绩效考核办法为准。</w:t>
            </w:r>
          </w:p>
        </w:tc>
      </w:tr>
    </w:tbl>
    <w:p>
      <w:pPr>
        <w:tabs>
          <w:tab w:val="clear" w:pos="3261"/>
          <w:tab w:val="clear" w:pos="4536"/>
        </w:tabs>
        <w:adjustRightInd w:val="0"/>
        <w:snapToGrid w:val="0"/>
        <w:spacing w:line="360" w:lineRule="auto"/>
        <w:ind w:firstLine="560" w:firstLineChars="200"/>
        <w:jc w:val="center"/>
        <w:rPr>
          <w:color w:val="000000"/>
        </w:rPr>
      </w:pPr>
    </w:p>
    <w:p>
      <w:pPr>
        <w:tabs>
          <w:tab w:val="clear" w:pos="3261"/>
          <w:tab w:val="clear" w:pos="4536"/>
        </w:tabs>
        <w:adjustRightInd w:val="0"/>
        <w:snapToGrid w:val="0"/>
        <w:spacing w:line="360" w:lineRule="auto"/>
        <w:ind w:firstLine="560" w:firstLineChars="200"/>
        <w:jc w:val="center"/>
        <w:rPr>
          <w:color w:val="000000"/>
        </w:rPr>
      </w:pPr>
      <w:r>
        <w:rPr>
          <w:rFonts w:hint="eastAsia"/>
          <w:color w:val="000000"/>
        </w:rPr>
        <w:t>表3.10 建设期绩效考核系数</w:t>
      </w:r>
    </w:p>
    <w:tbl>
      <w:tblPr>
        <w:tblStyle w:val="251"/>
        <w:tblW w:w="11785" w:type="dxa"/>
        <w:jc w:val="center"/>
        <w:tblInd w:w="-109" w:type="dxa"/>
        <w:tblLayout w:type="fixed"/>
        <w:tblCellMar>
          <w:top w:w="63" w:type="dxa"/>
          <w:left w:w="115" w:type="dxa"/>
          <w:bottom w:w="0" w:type="dxa"/>
          <w:right w:w="115" w:type="dxa"/>
        </w:tblCellMar>
      </w:tblPr>
      <w:tblGrid>
        <w:gridCol w:w="1380"/>
        <w:gridCol w:w="2465"/>
        <w:gridCol w:w="1985"/>
        <w:gridCol w:w="1985"/>
        <w:gridCol w:w="1985"/>
        <w:gridCol w:w="1985"/>
      </w:tblGrid>
      <w:tr>
        <w:tblPrEx>
          <w:tblLayout w:type="fixed"/>
        </w:tblPrEx>
        <w:trPr>
          <w:trHeight w:val="350" w:hRule="atLeast"/>
          <w:tblHeader/>
          <w:jc w:val="center"/>
        </w:trPr>
        <w:tc>
          <w:tcPr>
            <w:tcW w:w="1380"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7" w:firstLineChars="0"/>
              <w:jc w:val="center"/>
              <w:rPr>
                <w:rFonts w:eastAsia="等线"/>
                <w:b/>
                <w:color w:val="000000"/>
                <w:kern w:val="0"/>
                <w:sz w:val="24"/>
                <w:szCs w:val="24"/>
              </w:rPr>
            </w:pPr>
            <w:r>
              <w:rPr>
                <w:rFonts w:eastAsia="等线"/>
                <w:b/>
                <w:color w:val="000000"/>
                <w:kern w:val="0"/>
                <w:sz w:val="24"/>
                <w:szCs w:val="24"/>
              </w:rPr>
              <w:t>序号</w:t>
            </w:r>
          </w:p>
        </w:tc>
        <w:tc>
          <w:tcPr>
            <w:tcW w:w="2465"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b/>
                <w:color w:val="000000"/>
                <w:kern w:val="0"/>
                <w:sz w:val="24"/>
                <w:szCs w:val="24"/>
              </w:rPr>
            </w:pPr>
            <w:r>
              <w:rPr>
                <w:rFonts w:eastAsia="等线"/>
                <w:b/>
                <w:color w:val="000000"/>
                <w:kern w:val="0"/>
                <w:sz w:val="24"/>
                <w:szCs w:val="24"/>
              </w:rPr>
              <w:t>绩效考核得分</w:t>
            </w:r>
          </w:p>
        </w:tc>
        <w:tc>
          <w:tcPr>
            <w:tcW w:w="1985" w:type="dxa"/>
            <w:tcBorders>
              <w:top w:val="single" w:color="000000" w:sz="4" w:space="0"/>
              <w:left w:val="single" w:color="000000" w:sz="4" w:space="0"/>
              <w:bottom w:val="single" w:color="000000" w:sz="4" w:space="0"/>
              <w:right w:val="single" w:color="auto" w:sz="4" w:space="0"/>
            </w:tcBorders>
          </w:tcPr>
          <w:p>
            <w:pPr>
              <w:tabs>
                <w:tab w:val="clear" w:pos="3261"/>
                <w:tab w:val="clear" w:pos="4536"/>
              </w:tabs>
              <w:adjustRightInd w:val="0"/>
              <w:snapToGrid w:val="0"/>
              <w:ind w:firstLine="480" w:firstLineChars="200"/>
              <w:jc w:val="center"/>
              <w:rPr>
                <w:rFonts w:eastAsia="等线"/>
                <w:b/>
                <w:color w:val="000000"/>
                <w:kern w:val="0"/>
                <w:sz w:val="24"/>
                <w:szCs w:val="24"/>
              </w:rPr>
            </w:pPr>
            <w:r>
              <w:rPr>
                <w:rFonts w:eastAsia="等线"/>
                <w:b/>
                <w:color w:val="000000"/>
                <w:kern w:val="0"/>
                <w:sz w:val="24"/>
                <w:szCs w:val="24"/>
              </w:rPr>
              <w:t>绩效考核系数</w:t>
            </w:r>
          </w:p>
        </w:tc>
        <w:tc>
          <w:tcPr>
            <w:tcW w:w="1985" w:type="dxa"/>
            <w:tcBorders>
              <w:top w:val="single" w:color="auto" w:sz="4" w:space="0"/>
              <w:left w:val="single" w:color="auto" w:sz="4" w:space="0"/>
              <w:bottom w:val="single" w:color="auto" w:sz="4" w:space="0"/>
              <w:right w:val="single" w:color="auto" w:sz="4" w:space="0"/>
            </w:tcBorders>
          </w:tcPr>
          <w:p>
            <w:pPr>
              <w:widowControl/>
              <w:tabs>
                <w:tab w:val="clear" w:pos="3261"/>
                <w:tab w:val="clear" w:pos="4536"/>
              </w:tabs>
              <w:ind w:firstLine="0" w:firstLineChars="0"/>
              <w:jc w:val="left"/>
              <w:rPr>
                <w:rFonts w:eastAsia="等线"/>
                <w:kern w:val="0"/>
                <w:sz w:val="20"/>
                <w:szCs w:val="20"/>
              </w:rPr>
            </w:pPr>
            <w:r>
              <w:rPr>
                <w:rFonts w:eastAsia="等线"/>
                <w:b/>
                <w:color w:val="000000"/>
                <w:kern w:val="0"/>
                <w:sz w:val="24"/>
                <w:szCs w:val="24"/>
              </w:rPr>
              <w:t>序号</w:t>
            </w:r>
          </w:p>
        </w:tc>
        <w:tc>
          <w:tcPr>
            <w:tcW w:w="1985" w:type="dxa"/>
            <w:tcBorders>
              <w:top w:val="single" w:color="auto" w:sz="4" w:space="0"/>
              <w:left w:val="single" w:color="auto" w:sz="4" w:space="0"/>
              <w:bottom w:val="single" w:color="auto" w:sz="4" w:space="0"/>
              <w:right w:val="single" w:color="auto" w:sz="4" w:space="0"/>
            </w:tcBorders>
          </w:tcPr>
          <w:p>
            <w:pPr>
              <w:widowControl/>
              <w:tabs>
                <w:tab w:val="clear" w:pos="3261"/>
                <w:tab w:val="clear" w:pos="4536"/>
              </w:tabs>
              <w:ind w:firstLine="0" w:firstLineChars="0"/>
              <w:jc w:val="left"/>
              <w:rPr>
                <w:rFonts w:eastAsia="等线"/>
                <w:kern w:val="0"/>
                <w:sz w:val="20"/>
                <w:szCs w:val="20"/>
              </w:rPr>
            </w:pPr>
            <w:r>
              <w:rPr>
                <w:rFonts w:eastAsia="等线"/>
                <w:b/>
                <w:color w:val="000000"/>
                <w:kern w:val="0"/>
                <w:sz w:val="24"/>
                <w:szCs w:val="24"/>
              </w:rPr>
              <w:t>绩效考核得分</w:t>
            </w:r>
          </w:p>
        </w:tc>
        <w:tc>
          <w:tcPr>
            <w:tcW w:w="1985" w:type="dxa"/>
            <w:tcBorders>
              <w:top w:val="single" w:color="auto" w:sz="4" w:space="0"/>
              <w:left w:val="single" w:color="auto" w:sz="4" w:space="0"/>
              <w:bottom w:val="single" w:color="auto" w:sz="4" w:space="0"/>
              <w:right w:val="single" w:color="auto" w:sz="4" w:space="0"/>
            </w:tcBorders>
          </w:tcPr>
          <w:p>
            <w:pPr>
              <w:widowControl/>
              <w:tabs>
                <w:tab w:val="clear" w:pos="3261"/>
                <w:tab w:val="clear" w:pos="4536"/>
              </w:tabs>
              <w:ind w:firstLine="0" w:firstLineChars="0"/>
              <w:jc w:val="left"/>
              <w:rPr>
                <w:rFonts w:eastAsia="等线"/>
                <w:kern w:val="0"/>
                <w:sz w:val="20"/>
                <w:szCs w:val="20"/>
              </w:rPr>
            </w:pPr>
            <w:r>
              <w:rPr>
                <w:rFonts w:eastAsia="等线"/>
                <w:b/>
                <w:color w:val="000000"/>
                <w:kern w:val="0"/>
                <w:sz w:val="24"/>
                <w:szCs w:val="24"/>
              </w:rPr>
              <w:t>绩效考核系数</w:t>
            </w:r>
          </w:p>
        </w:tc>
      </w:tr>
      <w:tr>
        <w:tblPrEx>
          <w:tblLayout w:type="fixed"/>
          <w:tblCellMar>
            <w:top w:w="63" w:type="dxa"/>
            <w:left w:w="115" w:type="dxa"/>
            <w:bottom w:w="0" w:type="dxa"/>
            <w:right w:w="115" w:type="dxa"/>
          </w:tblCellMar>
        </w:tblPrEx>
        <w:trPr>
          <w:trHeight w:val="30" w:hRule="atLeast"/>
          <w:jc w:val="center"/>
        </w:trPr>
        <w:tc>
          <w:tcPr>
            <w:tcW w:w="1380"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eastAsia="等线"/>
                <w:color w:val="000000"/>
                <w:kern w:val="0"/>
                <w:sz w:val="24"/>
                <w:szCs w:val="24"/>
              </w:rPr>
              <w:t>1</w:t>
            </w:r>
          </w:p>
        </w:tc>
        <w:tc>
          <w:tcPr>
            <w:tcW w:w="2465"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hint="eastAsia" w:eastAsia="等线"/>
                <w:color w:val="000000"/>
                <w:kern w:val="0"/>
                <w:sz w:val="24"/>
                <w:szCs w:val="24"/>
              </w:rPr>
              <w:t>[85</w:t>
            </w:r>
            <w:r>
              <w:rPr>
                <w:rFonts w:eastAsia="等线"/>
                <w:color w:val="000000"/>
                <w:kern w:val="0"/>
                <w:sz w:val="24"/>
                <w:szCs w:val="24"/>
              </w:rPr>
              <w:t>-100</w:t>
            </w:r>
            <w:r>
              <w:rPr>
                <w:rFonts w:hint="eastAsia" w:eastAsia="等线"/>
                <w:color w:val="000000"/>
                <w:kern w:val="0"/>
                <w:sz w:val="24"/>
                <w:szCs w:val="24"/>
              </w:rPr>
              <w:t>]</w:t>
            </w:r>
          </w:p>
        </w:tc>
        <w:tc>
          <w:tcPr>
            <w:tcW w:w="1985" w:type="dxa"/>
            <w:tcBorders>
              <w:top w:val="single" w:color="000000" w:sz="4" w:space="0"/>
              <w:left w:val="single" w:color="000000" w:sz="4" w:space="0"/>
              <w:bottom w:val="single" w:color="000000" w:sz="4" w:space="0"/>
              <w:right w:val="single" w:color="auto"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eastAsia="等线"/>
                <w:color w:val="000000"/>
                <w:kern w:val="0"/>
                <w:sz w:val="24"/>
                <w:szCs w:val="24"/>
              </w:rPr>
              <w:t>1</w:t>
            </w:r>
          </w:p>
        </w:tc>
        <w:tc>
          <w:tcPr>
            <w:tcW w:w="1985" w:type="dxa"/>
            <w:tcBorders>
              <w:top w:val="single" w:color="auto" w:sz="4" w:space="0"/>
              <w:left w:val="single" w:color="auto" w:sz="4" w:space="0"/>
              <w:bottom w:val="single" w:color="auto" w:sz="4" w:space="0"/>
              <w:right w:val="single" w:color="auto" w:sz="4" w:space="0"/>
            </w:tcBorders>
          </w:tcPr>
          <w:p>
            <w:pPr>
              <w:widowControl/>
              <w:tabs>
                <w:tab w:val="clear" w:pos="3261"/>
                <w:tab w:val="clear" w:pos="4536"/>
              </w:tabs>
              <w:ind w:firstLine="0" w:firstLineChars="0"/>
              <w:jc w:val="left"/>
              <w:rPr>
                <w:rFonts w:eastAsia="等线"/>
                <w:kern w:val="0"/>
                <w:sz w:val="20"/>
                <w:szCs w:val="20"/>
              </w:rPr>
            </w:pPr>
            <w:r>
              <w:rPr>
                <w:rFonts w:eastAsia="等线"/>
                <w:color w:val="000000"/>
                <w:kern w:val="0"/>
                <w:sz w:val="24"/>
                <w:szCs w:val="24"/>
              </w:rPr>
              <w:t>4</w:t>
            </w:r>
          </w:p>
        </w:tc>
        <w:tc>
          <w:tcPr>
            <w:tcW w:w="1985" w:type="dxa"/>
            <w:tcBorders>
              <w:top w:val="single" w:color="auto" w:sz="4" w:space="0"/>
              <w:left w:val="single" w:color="auto" w:sz="4" w:space="0"/>
              <w:bottom w:val="single" w:color="auto" w:sz="4" w:space="0"/>
              <w:right w:val="single" w:color="auto" w:sz="4" w:space="0"/>
            </w:tcBorders>
          </w:tcPr>
          <w:p>
            <w:pPr>
              <w:widowControl/>
              <w:tabs>
                <w:tab w:val="clear" w:pos="3261"/>
                <w:tab w:val="clear" w:pos="4536"/>
              </w:tabs>
              <w:ind w:firstLine="0" w:firstLineChars="0"/>
              <w:jc w:val="left"/>
              <w:rPr>
                <w:rFonts w:eastAsia="等线"/>
                <w:kern w:val="0"/>
                <w:sz w:val="20"/>
                <w:szCs w:val="20"/>
              </w:rPr>
            </w:pPr>
            <w:r>
              <w:rPr>
                <w:rFonts w:hint="eastAsia" w:eastAsia="等线"/>
                <w:color w:val="000000"/>
                <w:kern w:val="0"/>
                <w:sz w:val="24"/>
                <w:szCs w:val="24"/>
              </w:rPr>
              <w:t>[</w:t>
            </w:r>
            <w:r>
              <w:rPr>
                <w:rFonts w:eastAsia="等线"/>
                <w:color w:val="000000"/>
                <w:kern w:val="0"/>
                <w:sz w:val="24"/>
                <w:szCs w:val="24"/>
              </w:rPr>
              <w:t>60-</w:t>
            </w:r>
            <w:r>
              <w:rPr>
                <w:rFonts w:hint="eastAsia" w:eastAsia="等线"/>
                <w:color w:val="000000"/>
                <w:kern w:val="0"/>
                <w:sz w:val="24"/>
                <w:szCs w:val="24"/>
              </w:rPr>
              <w:t>65</w:t>
            </w:r>
            <w:r>
              <w:rPr>
                <w:rFonts w:eastAsia="等线"/>
                <w:color w:val="000000"/>
                <w:kern w:val="0"/>
                <w:sz w:val="24"/>
                <w:szCs w:val="24"/>
              </w:rPr>
              <w:t>）</w:t>
            </w:r>
          </w:p>
        </w:tc>
        <w:tc>
          <w:tcPr>
            <w:tcW w:w="1985" w:type="dxa"/>
            <w:tcBorders>
              <w:top w:val="single" w:color="auto" w:sz="4" w:space="0"/>
              <w:left w:val="single" w:color="auto" w:sz="4" w:space="0"/>
              <w:bottom w:val="single" w:color="auto" w:sz="4" w:space="0"/>
              <w:right w:val="single" w:color="auto" w:sz="4" w:space="0"/>
            </w:tcBorders>
          </w:tcPr>
          <w:p>
            <w:pPr>
              <w:widowControl/>
              <w:tabs>
                <w:tab w:val="clear" w:pos="3261"/>
                <w:tab w:val="clear" w:pos="4536"/>
              </w:tabs>
              <w:ind w:firstLine="0" w:firstLineChars="0"/>
              <w:jc w:val="left"/>
              <w:rPr>
                <w:rFonts w:eastAsia="等线"/>
                <w:kern w:val="0"/>
                <w:sz w:val="20"/>
                <w:szCs w:val="20"/>
              </w:rPr>
            </w:pPr>
            <w:r>
              <w:rPr>
                <w:rFonts w:eastAsia="等线"/>
                <w:color w:val="000000"/>
                <w:kern w:val="0"/>
                <w:sz w:val="24"/>
                <w:szCs w:val="24"/>
              </w:rPr>
              <w:t>0.7</w:t>
            </w:r>
          </w:p>
        </w:tc>
      </w:tr>
      <w:tr>
        <w:tblPrEx>
          <w:tblLayout w:type="fixed"/>
          <w:tblCellMar>
            <w:top w:w="63" w:type="dxa"/>
            <w:left w:w="115" w:type="dxa"/>
            <w:bottom w:w="0" w:type="dxa"/>
            <w:right w:w="115" w:type="dxa"/>
          </w:tblCellMar>
        </w:tblPrEx>
        <w:trPr>
          <w:trHeight w:val="106" w:hRule="atLeast"/>
          <w:jc w:val="center"/>
        </w:trPr>
        <w:tc>
          <w:tcPr>
            <w:tcW w:w="1380"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eastAsia="等线"/>
                <w:color w:val="000000"/>
                <w:kern w:val="0"/>
                <w:sz w:val="24"/>
                <w:szCs w:val="24"/>
              </w:rPr>
              <w:t>2</w:t>
            </w:r>
          </w:p>
        </w:tc>
        <w:tc>
          <w:tcPr>
            <w:tcW w:w="2465"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hint="eastAsia" w:eastAsia="等线"/>
                <w:color w:val="000000"/>
                <w:kern w:val="0"/>
                <w:sz w:val="24"/>
                <w:szCs w:val="24"/>
              </w:rPr>
              <w:t>[75</w:t>
            </w:r>
            <w:r>
              <w:rPr>
                <w:rFonts w:eastAsia="等线"/>
                <w:color w:val="000000"/>
                <w:kern w:val="0"/>
                <w:sz w:val="24"/>
                <w:szCs w:val="24"/>
              </w:rPr>
              <w:t>-</w:t>
            </w:r>
            <w:r>
              <w:rPr>
                <w:rFonts w:hint="eastAsia" w:eastAsia="等线"/>
                <w:color w:val="000000"/>
                <w:kern w:val="0"/>
                <w:sz w:val="24"/>
                <w:szCs w:val="24"/>
              </w:rPr>
              <w:t>8</w:t>
            </w:r>
            <w:r>
              <w:rPr>
                <w:rFonts w:eastAsia="等线"/>
                <w:color w:val="000000"/>
                <w:kern w:val="0"/>
                <w:sz w:val="24"/>
                <w:szCs w:val="24"/>
              </w:rPr>
              <w:t>5）</w:t>
            </w:r>
          </w:p>
        </w:tc>
        <w:tc>
          <w:tcPr>
            <w:tcW w:w="1985" w:type="dxa"/>
            <w:tcBorders>
              <w:top w:val="single" w:color="000000" w:sz="4" w:space="0"/>
              <w:left w:val="single" w:color="000000" w:sz="4" w:space="0"/>
              <w:bottom w:val="single" w:color="000000" w:sz="4" w:space="0"/>
              <w:right w:val="single" w:color="auto"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eastAsia="等线"/>
                <w:color w:val="000000"/>
                <w:kern w:val="0"/>
                <w:sz w:val="24"/>
                <w:szCs w:val="24"/>
              </w:rPr>
              <w:t>0.9</w:t>
            </w:r>
          </w:p>
        </w:tc>
        <w:tc>
          <w:tcPr>
            <w:tcW w:w="1985" w:type="dxa"/>
            <w:tcBorders>
              <w:top w:val="single" w:color="auto" w:sz="4" w:space="0"/>
              <w:left w:val="single" w:color="auto" w:sz="4" w:space="0"/>
              <w:bottom w:val="single" w:color="auto" w:sz="4" w:space="0"/>
              <w:right w:val="single" w:color="auto" w:sz="4" w:space="0"/>
            </w:tcBorders>
          </w:tcPr>
          <w:p>
            <w:pPr>
              <w:widowControl/>
              <w:tabs>
                <w:tab w:val="clear" w:pos="3261"/>
                <w:tab w:val="clear" w:pos="4536"/>
              </w:tabs>
              <w:ind w:firstLine="0" w:firstLineChars="0"/>
              <w:jc w:val="left"/>
              <w:rPr>
                <w:rFonts w:eastAsia="等线"/>
                <w:kern w:val="0"/>
                <w:sz w:val="20"/>
                <w:szCs w:val="20"/>
              </w:rPr>
            </w:pPr>
            <w:r>
              <w:rPr>
                <w:rFonts w:eastAsia="等线"/>
                <w:color w:val="000000"/>
                <w:kern w:val="0"/>
                <w:sz w:val="24"/>
                <w:szCs w:val="24"/>
              </w:rPr>
              <w:t>5</w:t>
            </w:r>
          </w:p>
        </w:tc>
        <w:tc>
          <w:tcPr>
            <w:tcW w:w="1985" w:type="dxa"/>
            <w:tcBorders>
              <w:top w:val="single" w:color="auto" w:sz="4" w:space="0"/>
              <w:left w:val="single" w:color="auto" w:sz="4" w:space="0"/>
              <w:bottom w:val="single" w:color="auto" w:sz="4" w:space="0"/>
              <w:right w:val="single" w:color="auto" w:sz="4" w:space="0"/>
            </w:tcBorders>
          </w:tcPr>
          <w:p>
            <w:pPr>
              <w:widowControl/>
              <w:tabs>
                <w:tab w:val="clear" w:pos="3261"/>
                <w:tab w:val="clear" w:pos="4536"/>
              </w:tabs>
              <w:ind w:firstLine="0" w:firstLineChars="0"/>
              <w:jc w:val="left"/>
              <w:rPr>
                <w:rFonts w:eastAsia="等线"/>
                <w:kern w:val="0"/>
                <w:sz w:val="20"/>
                <w:szCs w:val="20"/>
              </w:rPr>
            </w:pPr>
            <w:r>
              <w:rPr>
                <w:rFonts w:eastAsia="等线"/>
                <w:color w:val="000000"/>
                <w:kern w:val="0"/>
                <w:sz w:val="24"/>
                <w:szCs w:val="24"/>
              </w:rPr>
              <w:t>＜60</w:t>
            </w:r>
          </w:p>
        </w:tc>
        <w:tc>
          <w:tcPr>
            <w:tcW w:w="1985" w:type="dxa"/>
            <w:tcBorders>
              <w:top w:val="single" w:color="auto" w:sz="4" w:space="0"/>
              <w:left w:val="single" w:color="auto" w:sz="4" w:space="0"/>
              <w:bottom w:val="single" w:color="auto" w:sz="4" w:space="0"/>
              <w:right w:val="single" w:color="auto" w:sz="4" w:space="0"/>
            </w:tcBorders>
          </w:tcPr>
          <w:p>
            <w:pPr>
              <w:widowControl/>
              <w:tabs>
                <w:tab w:val="clear" w:pos="3261"/>
                <w:tab w:val="clear" w:pos="4536"/>
              </w:tabs>
              <w:ind w:firstLine="0" w:firstLineChars="0"/>
              <w:jc w:val="left"/>
              <w:rPr>
                <w:rFonts w:eastAsia="等线"/>
                <w:kern w:val="0"/>
                <w:sz w:val="20"/>
                <w:szCs w:val="20"/>
              </w:rPr>
            </w:pPr>
            <w:r>
              <w:rPr>
                <w:rFonts w:eastAsia="等线"/>
                <w:color w:val="000000"/>
                <w:kern w:val="0"/>
                <w:sz w:val="24"/>
                <w:szCs w:val="24"/>
              </w:rPr>
              <w:t>0</w:t>
            </w:r>
          </w:p>
        </w:tc>
      </w:tr>
      <w:tr>
        <w:tblPrEx>
          <w:tblLayout w:type="fixed"/>
          <w:tblCellMar>
            <w:top w:w="63" w:type="dxa"/>
            <w:left w:w="115" w:type="dxa"/>
            <w:bottom w:w="0" w:type="dxa"/>
            <w:right w:w="115" w:type="dxa"/>
          </w:tblCellMar>
        </w:tblPrEx>
        <w:trPr>
          <w:gridAfter w:val="3"/>
          <w:wAfter w:w="5955" w:type="dxa"/>
          <w:trHeight w:val="22" w:hRule="atLeast"/>
          <w:jc w:val="center"/>
        </w:trPr>
        <w:tc>
          <w:tcPr>
            <w:tcW w:w="1380"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eastAsia="等线"/>
                <w:color w:val="000000"/>
                <w:kern w:val="0"/>
                <w:sz w:val="24"/>
                <w:szCs w:val="24"/>
              </w:rPr>
              <w:t>3</w:t>
            </w:r>
          </w:p>
        </w:tc>
        <w:tc>
          <w:tcPr>
            <w:tcW w:w="2465"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hint="eastAsia" w:eastAsia="等线"/>
                <w:color w:val="000000"/>
                <w:kern w:val="0"/>
                <w:sz w:val="24"/>
                <w:szCs w:val="24"/>
              </w:rPr>
              <w:t>[65</w:t>
            </w:r>
            <w:r>
              <w:rPr>
                <w:rFonts w:eastAsia="等线"/>
                <w:color w:val="000000"/>
                <w:kern w:val="0"/>
                <w:sz w:val="24"/>
                <w:szCs w:val="24"/>
              </w:rPr>
              <w:t>-</w:t>
            </w:r>
            <w:r>
              <w:rPr>
                <w:rFonts w:hint="eastAsia" w:eastAsia="等线"/>
                <w:color w:val="000000"/>
                <w:kern w:val="0"/>
                <w:sz w:val="24"/>
                <w:szCs w:val="24"/>
              </w:rPr>
              <w:t>75</w:t>
            </w:r>
            <w:r>
              <w:rPr>
                <w:rFonts w:eastAsia="等线"/>
                <w:color w:val="000000"/>
                <w:kern w:val="0"/>
                <w:sz w:val="24"/>
                <w:szCs w:val="24"/>
              </w:rPr>
              <w:t>）</w:t>
            </w:r>
          </w:p>
        </w:tc>
        <w:tc>
          <w:tcPr>
            <w:tcW w:w="1985"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eastAsia="等线"/>
                <w:color w:val="000000"/>
                <w:kern w:val="0"/>
                <w:sz w:val="24"/>
                <w:szCs w:val="24"/>
              </w:rPr>
              <w:t>0.8</w:t>
            </w:r>
          </w:p>
        </w:tc>
      </w:tr>
    </w:tbl>
    <w:p>
      <w:pPr>
        <w:numPr>
          <w:ilvl w:val="255"/>
          <w:numId w:val="0"/>
        </w:numPr>
        <w:tabs>
          <w:tab w:val="clear" w:pos="3261"/>
          <w:tab w:val="clear" w:pos="4536"/>
        </w:tabs>
        <w:adjustRightInd w:val="0"/>
        <w:snapToGrid w:val="0"/>
        <w:spacing w:line="360" w:lineRule="auto"/>
        <w:ind w:firstLine="560" w:firstLineChars="200"/>
        <w:rPr>
          <w:color w:val="000000"/>
        </w:rPr>
        <w:sectPr>
          <w:pgSz w:w="16838" w:h="11906" w:orient="landscape"/>
          <w:pgMar w:top="1797" w:right="1440" w:bottom="1797" w:left="1440" w:header="851" w:footer="992" w:gutter="0"/>
          <w:cols w:space="425" w:num="1"/>
          <w:docGrid w:linePitch="312" w:charSpace="0"/>
        </w:sectPr>
      </w:pPr>
    </w:p>
    <w:p>
      <w:pPr>
        <w:tabs>
          <w:tab w:val="clear" w:pos="3261"/>
          <w:tab w:val="clear" w:pos="4536"/>
        </w:tabs>
        <w:adjustRightInd w:val="0"/>
        <w:snapToGrid w:val="0"/>
        <w:spacing w:line="360" w:lineRule="auto"/>
        <w:ind w:firstLine="560" w:firstLineChars="200"/>
        <w:rPr>
          <w:color w:val="000000"/>
        </w:rPr>
      </w:pPr>
      <w:r>
        <w:rPr>
          <w:rFonts w:hint="eastAsia"/>
          <w:color w:val="000000"/>
        </w:rPr>
        <w:t>（2）运营期绩效考核</w:t>
      </w:r>
    </w:p>
    <w:p>
      <w:pPr>
        <w:tabs>
          <w:tab w:val="clear" w:pos="3261"/>
          <w:tab w:val="clear" w:pos="4536"/>
        </w:tabs>
        <w:adjustRightInd w:val="0"/>
        <w:snapToGrid w:val="0"/>
        <w:spacing w:line="360" w:lineRule="auto"/>
        <w:ind w:firstLine="560" w:firstLineChars="200"/>
        <w:rPr>
          <w:color w:val="000000"/>
        </w:rPr>
      </w:pPr>
      <w:r>
        <w:rPr>
          <w:rFonts w:hint="eastAsia"/>
          <w:color w:val="000000"/>
        </w:rPr>
        <w:t>为保证项目运营服务质量，将项目每年可用性付费的</w:t>
      </w:r>
      <w:r>
        <w:rPr>
          <w:color w:val="000000"/>
        </w:rPr>
        <w:t>30%与项</w:t>
      </w:r>
      <w:r>
        <w:rPr>
          <w:rFonts w:hint="eastAsia"/>
          <w:color w:val="000000"/>
        </w:rPr>
        <w:t>目运营服务费共同纳入当年运营绩效考核挂钩范围，政府根据绩效考核情况进行付费。</w:t>
      </w:r>
    </w:p>
    <w:p>
      <w:pPr>
        <w:tabs>
          <w:tab w:val="clear" w:pos="3261"/>
          <w:tab w:val="clear" w:pos="4536"/>
        </w:tabs>
        <w:adjustRightInd w:val="0"/>
        <w:snapToGrid w:val="0"/>
        <w:spacing w:line="360" w:lineRule="auto"/>
        <w:ind w:firstLine="560" w:firstLineChars="200"/>
        <w:rPr>
          <w:color w:val="000000"/>
        </w:rPr>
      </w:pPr>
      <w:r>
        <w:rPr>
          <w:rFonts w:hint="eastAsia"/>
          <w:color w:val="000000"/>
        </w:rPr>
        <w:t>运营期绩效考核分为定期考核和不定期考核，定期考核每年考核四次，分别每季度末进行，每次考核得分占当年定期考核总分值的</w:t>
      </w:r>
      <w:r>
        <w:rPr>
          <w:color w:val="000000"/>
        </w:rPr>
        <w:t>25%。</w:t>
      </w:r>
      <w:r>
        <w:rPr>
          <w:rFonts w:hint="eastAsia"/>
          <w:color w:val="000000"/>
        </w:rPr>
        <w:t>在项目竣工验收日三（</w:t>
      </w:r>
      <w:r>
        <w:rPr>
          <w:color w:val="000000"/>
        </w:rPr>
        <w:t>3）个月</w:t>
      </w:r>
      <w:r>
        <w:rPr>
          <w:rFonts w:hint="eastAsia"/>
          <w:color w:val="000000"/>
        </w:rPr>
        <w:t>后的第一周进行，并应在十五（</w:t>
      </w:r>
      <w:r>
        <w:rPr>
          <w:color w:val="000000"/>
        </w:rPr>
        <w:t>15）日内完成。</w:t>
      </w:r>
      <w:r>
        <w:rPr>
          <w:rFonts w:hint="eastAsia"/>
          <w:color w:val="000000"/>
        </w:rPr>
        <w:t>绩效</w:t>
      </w:r>
      <w:r>
        <w:rPr>
          <w:color w:val="000000"/>
        </w:rPr>
        <w:t>考核小组需提前48</w:t>
      </w:r>
      <w:r>
        <w:rPr>
          <w:rFonts w:hint="eastAsia"/>
          <w:color w:val="000000"/>
        </w:rPr>
        <w:t>小时通知项目公司开始考核的时间，项目公司在绩效考核小组的监督下，配合绩效考核小组在规定的考核现场对运营维护情况进行检查。本项目以造林小班为基本考核单元，每个定期考核需变换考核范围，每相邻两个季度考核的重复范围不超过</w:t>
      </w:r>
      <w:r>
        <w:rPr>
          <w:color w:val="000000"/>
        </w:rPr>
        <w:t>50%。</w:t>
      </w:r>
    </w:p>
    <w:p>
      <w:pPr>
        <w:tabs>
          <w:tab w:val="clear" w:pos="3261"/>
          <w:tab w:val="clear" w:pos="4536"/>
        </w:tabs>
        <w:adjustRightInd w:val="0"/>
        <w:snapToGrid w:val="0"/>
        <w:spacing w:line="360" w:lineRule="auto"/>
        <w:ind w:firstLine="560" w:firstLineChars="200"/>
        <w:rPr>
          <w:color w:val="000000"/>
        </w:rPr>
      </w:pPr>
      <w:r>
        <w:rPr>
          <w:rFonts w:hint="eastAsia"/>
          <w:color w:val="000000"/>
        </w:rPr>
        <w:t>绩效考核小组可以随时自行考核项目公司的运营质量，如发现缺陷，则需在</w:t>
      </w:r>
      <w:r>
        <w:rPr>
          <w:color w:val="000000"/>
        </w:rPr>
        <w:t>24小时内以书面形式通知项目公司。项目公司在接到政府方的</w:t>
      </w:r>
      <w:r>
        <w:rPr>
          <w:rFonts w:hint="eastAsia"/>
          <w:color w:val="000000"/>
        </w:rPr>
        <w:t>书面通知后，应及时修复缺陷。临时考核结果一般不作为项目公司违约情形处理，除非临时考核发现的缺陷会导致项目设施的可用性、运营服务质量等受到严重影响，或存在重大安全隐患。</w:t>
      </w:r>
    </w:p>
    <w:p>
      <w:pPr>
        <w:tabs>
          <w:tab w:val="clear" w:pos="3261"/>
          <w:tab w:val="clear" w:pos="4536"/>
        </w:tabs>
        <w:adjustRightInd w:val="0"/>
        <w:snapToGrid w:val="0"/>
        <w:spacing w:line="360" w:lineRule="auto"/>
        <w:ind w:firstLine="560" w:firstLineChars="200"/>
        <w:rPr>
          <w:color w:val="000000"/>
        </w:rPr>
      </w:pPr>
      <w:r>
        <w:rPr>
          <w:rFonts w:hint="eastAsia"/>
          <w:color w:val="000000"/>
        </w:rPr>
        <w:t>每年不定期考核次数应不少于</w:t>
      </w:r>
      <w:r>
        <w:rPr>
          <w:color w:val="000000"/>
        </w:rPr>
        <w:t>2</w:t>
      </w:r>
      <w:r>
        <w:rPr>
          <w:rFonts w:hint="eastAsia"/>
          <w:color w:val="000000"/>
        </w:rPr>
        <w:t>次，将不定期的绩效评价分数平均后作为临时检查的最后得分。最后根据相应的权重（定期考核的权重为</w:t>
      </w:r>
      <w:r>
        <w:rPr>
          <w:color w:val="000000"/>
        </w:rPr>
        <w:t>70%</w:t>
      </w:r>
      <w:r>
        <w:rPr>
          <w:rFonts w:hint="eastAsia"/>
          <w:color w:val="000000"/>
        </w:rPr>
        <w:t>，不定期考核的权重为</w:t>
      </w:r>
      <w:r>
        <w:rPr>
          <w:color w:val="000000"/>
        </w:rPr>
        <w:t>30%</w:t>
      </w:r>
      <w:r>
        <w:rPr>
          <w:rFonts w:hint="eastAsia"/>
          <w:color w:val="000000"/>
        </w:rPr>
        <w:t>），采用加权平均法，最终得出运营绩效得分。</w:t>
      </w:r>
    </w:p>
    <w:p>
      <w:pPr>
        <w:tabs>
          <w:tab w:val="clear" w:pos="3261"/>
          <w:tab w:val="clear" w:pos="4536"/>
        </w:tabs>
        <w:adjustRightInd w:val="0"/>
        <w:snapToGrid w:val="0"/>
        <w:spacing w:line="360" w:lineRule="auto"/>
        <w:ind w:firstLine="560" w:firstLineChars="200"/>
        <w:jc w:val="center"/>
        <w:rPr>
          <w:color w:val="000000"/>
        </w:rPr>
      </w:pPr>
      <w:r>
        <w:rPr>
          <w:color w:val="000000"/>
        </w:rPr>
        <w:t>表</w:t>
      </w:r>
      <w:r>
        <w:rPr>
          <w:rFonts w:hint="eastAsia"/>
          <w:color w:val="000000"/>
        </w:rPr>
        <w:t>3.11</w:t>
      </w:r>
      <w:r>
        <w:rPr>
          <w:color w:val="000000"/>
        </w:rPr>
        <w:t>运维绩效考核表</w:t>
      </w:r>
    </w:p>
    <w:tbl>
      <w:tblPr>
        <w:tblStyle w:val="252"/>
        <w:tblW w:w="8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091"/>
        <w:gridCol w:w="676"/>
        <w:gridCol w:w="3765"/>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blHeader/>
          <w:jc w:val="center"/>
        </w:trPr>
        <w:tc>
          <w:tcPr>
            <w:tcW w:w="936" w:type="dxa"/>
            <w:tcBorders>
              <w:top w:val="single" w:color="auto" w:sz="4" w:space="0"/>
              <w:left w:val="single" w:color="auto" w:sz="4" w:space="0"/>
              <w:bottom w:val="single" w:color="auto" w:sz="4" w:space="0"/>
              <w:right w:val="single" w:color="auto" w:sz="4" w:space="0"/>
            </w:tcBorders>
            <w:vAlign w:val="center"/>
          </w:tcPr>
          <w:p>
            <w:pPr>
              <w:tabs>
                <w:tab w:val="clear" w:pos="3261"/>
                <w:tab w:val="clear" w:pos="4536"/>
              </w:tabs>
              <w:adjustRightInd w:val="0"/>
              <w:snapToGrid w:val="0"/>
              <w:ind w:firstLine="0" w:firstLineChars="0"/>
              <w:rPr>
                <w:rFonts w:eastAsia="宋体"/>
                <w:b/>
                <w:color w:val="000000"/>
                <w:sz w:val="24"/>
                <w:szCs w:val="24"/>
              </w:rPr>
            </w:pPr>
            <w:r>
              <w:rPr>
                <w:rFonts w:eastAsia="宋体"/>
                <w:b/>
                <w:color w:val="000000"/>
                <w:sz w:val="24"/>
                <w:szCs w:val="24"/>
              </w:rPr>
              <w:t>考核层级</w:t>
            </w:r>
          </w:p>
        </w:tc>
        <w:tc>
          <w:tcPr>
            <w:tcW w:w="1091" w:type="dxa"/>
            <w:tcBorders>
              <w:top w:val="single" w:color="auto" w:sz="4" w:space="0"/>
              <w:left w:val="single" w:color="auto" w:sz="4" w:space="0"/>
              <w:bottom w:val="single" w:color="auto" w:sz="4" w:space="0"/>
              <w:right w:val="single" w:color="auto" w:sz="4" w:space="0"/>
            </w:tcBorders>
            <w:vAlign w:val="center"/>
          </w:tcPr>
          <w:p>
            <w:pPr>
              <w:tabs>
                <w:tab w:val="clear" w:pos="3261"/>
                <w:tab w:val="clear" w:pos="4536"/>
              </w:tabs>
              <w:adjustRightInd w:val="0"/>
              <w:snapToGrid w:val="0"/>
              <w:ind w:firstLine="0" w:firstLineChars="0"/>
              <w:rPr>
                <w:rFonts w:eastAsia="宋体"/>
                <w:b/>
                <w:color w:val="000000"/>
                <w:sz w:val="24"/>
                <w:szCs w:val="24"/>
              </w:rPr>
            </w:pPr>
            <w:r>
              <w:rPr>
                <w:rFonts w:eastAsia="宋体"/>
                <w:b/>
                <w:color w:val="000000"/>
                <w:sz w:val="24"/>
                <w:szCs w:val="24"/>
              </w:rPr>
              <w:t>考核项目</w:t>
            </w:r>
          </w:p>
        </w:tc>
        <w:tc>
          <w:tcPr>
            <w:tcW w:w="676" w:type="dxa"/>
            <w:tcBorders>
              <w:top w:val="single" w:color="auto" w:sz="4" w:space="0"/>
              <w:left w:val="single" w:color="auto" w:sz="4" w:space="0"/>
              <w:bottom w:val="single" w:color="auto" w:sz="4" w:space="0"/>
              <w:right w:val="single" w:color="auto" w:sz="4" w:space="0"/>
            </w:tcBorders>
            <w:vAlign w:val="center"/>
          </w:tcPr>
          <w:p>
            <w:pPr>
              <w:tabs>
                <w:tab w:val="clear" w:pos="3261"/>
                <w:tab w:val="clear" w:pos="4536"/>
              </w:tabs>
              <w:adjustRightInd w:val="0"/>
              <w:snapToGrid w:val="0"/>
              <w:ind w:firstLine="0" w:firstLineChars="0"/>
              <w:jc w:val="center"/>
              <w:rPr>
                <w:rFonts w:eastAsia="宋体"/>
                <w:b/>
                <w:color w:val="000000"/>
                <w:sz w:val="24"/>
                <w:szCs w:val="24"/>
              </w:rPr>
            </w:pPr>
            <w:r>
              <w:rPr>
                <w:rFonts w:hint="eastAsia" w:eastAsia="宋体"/>
                <w:b/>
                <w:color w:val="000000"/>
                <w:sz w:val="24"/>
                <w:szCs w:val="24"/>
              </w:rPr>
              <w:t>分值</w:t>
            </w:r>
          </w:p>
        </w:tc>
        <w:tc>
          <w:tcPr>
            <w:tcW w:w="3765" w:type="dxa"/>
            <w:tcBorders>
              <w:top w:val="single" w:color="auto" w:sz="4" w:space="0"/>
              <w:left w:val="single" w:color="auto" w:sz="4" w:space="0"/>
              <w:bottom w:val="single" w:color="auto" w:sz="4" w:space="0"/>
              <w:right w:val="single" w:color="auto" w:sz="4" w:space="0"/>
            </w:tcBorders>
            <w:vAlign w:val="center"/>
          </w:tcPr>
          <w:p>
            <w:pPr>
              <w:tabs>
                <w:tab w:val="clear" w:pos="3261"/>
                <w:tab w:val="clear" w:pos="4536"/>
              </w:tabs>
              <w:adjustRightInd w:val="0"/>
              <w:snapToGrid w:val="0"/>
              <w:ind w:firstLine="482" w:firstLineChars="200"/>
              <w:jc w:val="center"/>
              <w:rPr>
                <w:rFonts w:eastAsia="宋体"/>
                <w:b/>
                <w:color w:val="000000"/>
                <w:sz w:val="24"/>
                <w:szCs w:val="24"/>
              </w:rPr>
            </w:pPr>
            <w:r>
              <w:rPr>
                <w:rFonts w:eastAsia="宋体"/>
                <w:b/>
                <w:color w:val="000000"/>
                <w:sz w:val="24"/>
                <w:szCs w:val="24"/>
              </w:rPr>
              <w:t>关键指标</w:t>
            </w:r>
          </w:p>
        </w:tc>
        <w:tc>
          <w:tcPr>
            <w:tcW w:w="2263" w:type="dxa"/>
            <w:tcBorders>
              <w:top w:val="single" w:color="auto" w:sz="4" w:space="0"/>
              <w:left w:val="single" w:color="auto" w:sz="4" w:space="0"/>
              <w:bottom w:val="single" w:color="auto" w:sz="4" w:space="0"/>
              <w:right w:val="single" w:color="auto" w:sz="4" w:space="0"/>
            </w:tcBorders>
            <w:vAlign w:val="center"/>
          </w:tcPr>
          <w:p>
            <w:pPr>
              <w:tabs>
                <w:tab w:val="clear" w:pos="3261"/>
                <w:tab w:val="clear" w:pos="4536"/>
              </w:tabs>
              <w:adjustRightInd w:val="0"/>
              <w:snapToGrid w:val="0"/>
              <w:ind w:firstLine="0" w:firstLineChars="0"/>
              <w:jc w:val="center"/>
              <w:rPr>
                <w:rFonts w:eastAsia="宋体"/>
                <w:b/>
                <w:color w:val="000000"/>
                <w:sz w:val="24"/>
                <w:szCs w:val="24"/>
              </w:rPr>
            </w:pPr>
            <w:r>
              <w:rPr>
                <w:rFonts w:hint="eastAsia" w:eastAsia="宋体"/>
                <w:b/>
                <w:color w:val="000000"/>
                <w:sz w:val="24"/>
                <w:szCs w:val="24"/>
              </w:rPr>
              <w:t>考核</w:t>
            </w:r>
            <w:r>
              <w:rPr>
                <w:rFonts w:eastAsia="宋体"/>
                <w:b/>
                <w:color w:val="000000"/>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936" w:type="dxa"/>
            <w:vMerge w:val="restart"/>
            <w:tcBorders>
              <w:top w:val="single" w:color="auto" w:sz="4" w:space="0"/>
            </w:tcBorders>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eastAsia="宋体"/>
                <w:color w:val="000000"/>
                <w:sz w:val="24"/>
                <w:szCs w:val="24"/>
              </w:rPr>
              <w:t>调查设计</w:t>
            </w:r>
          </w:p>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（7分）</w:t>
            </w:r>
          </w:p>
        </w:tc>
        <w:tc>
          <w:tcPr>
            <w:tcW w:w="1091" w:type="dxa"/>
            <w:tcBorders>
              <w:top w:val="single" w:color="auto" w:sz="4" w:space="0"/>
            </w:tcBorders>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一致性</w:t>
            </w:r>
          </w:p>
        </w:tc>
        <w:tc>
          <w:tcPr>
            <w:tcW w:w="676" w:type="dxa"/>
            <w:tcBorders>
              <w:top w:val="single" w:color="auto" w:sz="4" w:space="0"/>
            </w:tcBorders>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1</w:t>
            </w:r>
          </w:p>
        </w:tc>
        <w:tc>
          <w:tcPr>
            <w:tcW w:w="3765" w:type="dxa"/>
            <w:tcBorders>
              <w:top w:val="single" w:color="auto" w:sz="4" w:space="0"/>
            </w:tcBorders>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小班内的土地种类、立地条件基本一致，更新方式、造林方法一致，林地综合因子齐全</w:t>
            </w:r>
          </w:p>
        </w:tc>
        <w:tc>
          <w:tcPr>
            <w:tcW w:w="2263" w:type="dxa"/>
            <w:tcBorders>
              <w:top w:val="single" w:color="auto" w:sz="4" w:space="0"/>
            </w:tcBorders>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一项不一致扣0.05分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936" w:type="dxa"/>
            <w:vMerge w:val="continue"/>
            <w:vAlign w:val="center"/>
          </w:tcPr>
          <w:p>
            <w:pPr>
              <w:tabs>
                <w:tab w:val="clear" w:pos="3261"/>
                <w:tab w:val="clear" w:pos="4536"/>
              </w:tabs>
              <w:adjustRightInd w:val="0"/>
              <w:snapToGrid w:val="0"/>
              <w:ind w:firstLine="480" w:firstLineChars="20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人工更新</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2</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人工更新造林设计的林地准备、树种选择、密度、混交方式及株行距、抚育管护等应符合GT/T15776的规定和有关生态公益林建设技术标准；苗木规格应符合GB6000；人工存进天然更新设计在天然幼树数量和补植补播或整地数量上应符合省级规定</w:t>
            </w:r>
            <w:r>
              <w:rPr>
                <w:rFonts w:hint="eastAsia" w:eastAsia="宋体"/>
                <w:color w:val="000000"/>
                <w:sz w:val="24"/>
                <w:szCs w:val="24"/>
              </w:rPr>
              <w:t>。</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每低1%扣0.1分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936" w:type="dxa"/>
            <w:vMerge w:val="continue"/>
            <w:vAlign w:val="center"/>
          </w:tcPr>
          <w:p>
            <w:pPr>
              <w:tabs>
                <w:tab w:val="clear" w:pos="3261"/>
                <w:tab w:val="clear" w:pos="4536"/>
              </w:tabs>
              <w:adjustRightInd w:val="0"/>
              <w:snapToGrid w:val="0"/>
              <w:ind w:firstLine="480" w:firstLineChars="20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封山育林设计</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2</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封山育林的设计应符合GB/T15163的规定</w:t>
            </w:r>
            <w:r>
              <w:rPr>
                <w:rFonts w:hint="eastAsia" w:eastAsia="宋体"/>
                <w:color w:val="000000"/>
                <w:sz w:val="24"/>
                <w:szCs w:val="24"/>
              </w:rPr>
              <w:t>。</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936" w:type="dxa"/>
            <w:vMerge w:val="continue"/>
            <w:vAlign w:val="center"/>
          </w:tcPr>
          <w:p>
            <w:pPr>
              <w:tabs>
                <w:tab w:val="clear" w:pos="3261"/>
                <w:tab w:val="clear" w:pos="4536"/>
              </w:tabs>
              <w:adjustRightInd w:val="0"/>
              <w:snapToGrid w:val="0"/>
              <w:ind w:firstLine="480" w:firstLineChars="20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森林抚育设计</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2</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森林抚育设计应符合GB/T15781的规定</w:t>
            </w:r>
            <w:r>
              <w:rPr>
                <w:rFonts w:hint="eastAsia" w:eastAsia="宋体"/>
                <w:color w:val="000000"/>
                <w:sz w:val="24"/>
                <w:szCs w:val="24"/>
              </w:rPr>
              <w:t>。</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936" w:type="dxa"/>
            <w:vMerge w:val="restart"/>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森林保护</w:t>
            </w:r>
          </w:p>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（32分）</w:t>
            </w: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林地管理及地力维护</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2</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发生超越授权范围的无证征占用林地案件，要</w:t>
            </w:r>
            <w:r>
              <w:rPr>
                <w:rFonts w:hint="eastAsia" w:eastAsia="宋体"/>
                <w:color w:val="000000"/>
                <w:sz w:val="24"/>
                <w:szCs w:val="24"/>
              </w:rPr>
              <w:t>及时逐级上报并查处，保护林地资源；</w:t>
            </w:r>
            <w:r>
              <w:rPr>
                <w:rFonts w:eastAsia="宋体"/>
                <w:color w:val="000000"/>
                <w:sz w:val="24"/>
                <w:szCs w:val="24"/>
              </w:rPr>
              <w:t>及时制止管辖区内破坏储备林、非法挖树、毁</w:t>
            </w:r>
          </w:p>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林开荒、烧灰积肥等破坏地力的行为。</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及时阻止，发生轻微破坏行为扣</w:t>
            </w:r>
            <w:r>
              <w:rPr>
                <w:rFonts w:eastAsia="宋体"/>
                <w:color w:val="000000"/>
                <w:sz w:val="24"/>
                <w:szCs w:val="24"/>
              </w:rPr>
              <w:t>1分；有</w:t>
            </w:r>
          </w:p>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效解决问题，并未发生破坏行为扣</w:t>
            </w:r>
            <w:r>
              <w:rPr>
                <w:rFonts w:eastAsia="宋体"/>
                <w:color w:val="000000"/>
                <w:sz w:val="24"/>
                <w:szCs w:val="24"/>
              </w:rPr>
              <w:t>1.5分；</w:t>
            </w:r>
            <w:r>
              <w:rPr>
                <w:rFonts w:hint="eastAsia" w:eastAsia="宋体"/>
                <w:color w:val="000000"/>
                <w:sz w:val="24"/>
                <w:szCs w:val="24"/>
              </w:rPr>
              <w:t>凡不制止、报告或瞒报、不按政策规定查处的一次扣</w:t>
            </w:r>
            <w:r>
              <w:rPr>
                <w:rFonts w:eastAsia="宋体"/>
                <w:color w:val="00000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森林防火</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15</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健全森林防火规章制度、组织指挥体系、森林</w:t>
            </w:r>
            <w:r>
              <w:rPr>
                <w:rFonts w:hint="eastAsia" w:eastAsia="宋体"/>
                <w:color w:val="000000"/>
                <w:sz w:val="24"/>
                <w:szCs w:val="24"/>
              </w:rPr>
              <w:t>防火应急预案；</w:t>
            </w:r>
            <w:r>
              <w:rPr>
                <w:rFonts w:eastAsia="宋体"/>
                <w:color w:val="000000"/>
                <w:sz w:val="24"/>
                <w:szCs w:val="24"/>
              </w:rPr>
              <w:t>边界设置森林防火警示标识，对进入人员进行</w:t>
            </w:r>
            <w:r>
              <w:rPr>
                <w:rFonts w:hint="eastAsia" w:eastAsia="宋体"/>
                <w:color w:val="000000"/>
                <w:sz w:val="24"/>
                <w:szCs w:val="24"/>
              </w:rPr>
              <w:t>森林防火安全警示；</w:t>
            </w:r>
            <w:r>
              <w:rPr>
                <w:rFonts w:eastAsia="宋体"/>
                <w:color w:val="000000"/>
                <w:sz w:val="24"/>
                <w:szCs w:val="24"/>
              </w:rPr>
              <w:t>对起火源比如电线接头、配电箱、吸烟区进行</w:t>
            </w:r>
            <w:r>
              <w:rPr>
                <w:rFonts w:hint="eastAsia" w:eastAsia="宋体"/>
                <w:color w:val="000000"/>
                <w:sz w:val="24"/>
                <w:szCs w:val="24"/>
              </w:rPr>
              <w:t>严查严控；严格管理野外用火，避免火源线穿入其中；</w:t>
            </w:r>
            <w:r>
              <w:rPr>
                <w:rFonts w:eastAsia="宋体"/>
                <w:color w:val="000000"/>
                <w:sz w:val="24"/>
                <w:szCs w:val="24"/>
              </w:rPr>
              <w:t>加强对周边社区群众的森林防火宣传教育，提</w:t>
            </w:r>
          </w:p>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高火灾安全防范意识；</w:t>
            </w:r>
            <w:r>
              <w:rPr>
                <w:rFonts w:eastAsia="宋体"/>
                <w:color w:val="000000"/>
                <w:sz w:val="24"/>
                <w:szCs w:val="24"/>
              </w:rPr>
              <w:t>在造林地外围建设防护隔离带，并重点做好林</w:t>
            </w:r>
          </w:p>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道、防火线、防火林带的统筹规划和建设；</w:t>
            </w:r>
            <w:r>
              <w:rPr>
                <w:rFonts w:eastAsia="宋体"/>
                <w:color w:val="000000"/>
                <w:sz w:val="24"/>
                <w:szCs w:val="24"/>
              </w:rPr>
              <w:t>配置扑火器具和灭火装备，形成技术先进、功</w:t>
            </w:r>
            <w:r>
              <w:rPr>
                <w:rFonts w:hint="eastAsia" w:eastAsia="宋体"/>
                <w:color w:val="000000"/>
                <w:sz w:val="24"/>
                <w:szCs w:val="24"/>
              </w:rPr>
              <w:t>能完备的森林防火体系；</w:t>
            </w:r>
            <w:r>
              <w:rPr>
                <w:rFonts w:eastAsia="宋体"/>
                <w:color w:val="000000"/>
                <w:sz w:val="24"/>
                <w:szCs w:val="24"/>
              </w:rPr>
              <w:t>因周边火源蔓延到项目范围内，未能采取积极</w:t>
            </w:r>
            <w:r>
              <w:rPr>
                <w:rFonts w:hint="eastAsia" w:eastAsia="宋体"/>
                <w:color w:val="000000"/>
                <w:sz w:val="24"/>
                <w:szCs w:val="24"/>
              </w:rPr>
              <w:t>有效措施，致使发生较大森林火灾的，并追究相关人员的责任。</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一项不符扣</w:t>
            </w:r>
            <w:r>
              <w:rPr>
                <w:rFonts w:eastAsia="宋体"/>
                <w:color w:val="000000"/>
                <w:sz w:val="24"/>
                <w:szCs w:val="24"/>
              </w:rPr>
              <w:t>0.2分。非自然因素</w:t>
            </w:r>
            <w:r>
              <w:rPr>
                <w:rFonts w:hint="eastAsia" w:eastAsia="宋体"/>
                <w:color w:val="000000"/>
                <w:sz w:val="24"/>
                <w:szCs w:val="24"/>
              </w:rPr>
              <w:t>，发生一次一般森林火灾（受害森林面积</w:t>
            </w:r>
            <w:r>
              <w:rPr>
                <w:rFonts w:eastAsia="宋体"/>
                <w:color w:val="000000"/>
                <w:sz w:val="24"/>
                <w:szCs w:val="24"/>
              </w:rPr>
              <w:t>1</w:t>
            </w:r>
            <w:r>
              <w:rPr>
                <w:rFonts w:hint="eastAsia" w:eastAsia="宋体"/>
                <w:color w:val="000000"/>
                <w:sz w:val="24"/>
                <w:szCs w:val="24"/>
              </w:rPr>
              <w:t>公顷以下）扣</w:t>
            </w:r>
            <w:r>
              <w:rPr>
                <w:rFonts w:eastAsia="宋体"/>
                <w:color w:val="000000"/>
                <w:sz w:val="24"/>
                <w:szCs w:val="24"/>
              </w:rPr>
              <w:t>3分；发生一次较大森林火</w:t>
            </w:r>
            <w:r>
              <w:rPr>
                <w:rFonts w:hint="eastAsia" w:eastAsia="宋体"/>
                <w:color w:val="000000"/>
                <w:sz w:val="24"/>
                <w:szCs w:val="24"/>
              </w:rPr>
              <w:t>灾（受害森林面积</w:t>
            </w:r>
            <w:r>
              <w:rPr>
                <w:rFonts w:eastAsia="宋体"/>
                <w:color w:val="000000"/>
                <w:sz w:val="24"/>
                <w:szCs w:val="24"/>
              </w:rPr>
              <w:t>1公顷以上100公顷以</w:t>
            </w:r>
            <w:r>
              <w:rPr>
                <w:rFonts w:hint="eastAsia" w:eastAsia="宋体"/>
                <w:color w:val="000000"/>
                <w:sz w:val="24"/>
                <w:szCs w:val="24"/>
              </w:rPr>
              <w:t>下）扣</w:t>
            </w:r>
            <w:r>
              <w:rPr>
                <w:rFonts w:eastAsia="宋体"/>
                <w:color w:val="000000"/>
                <w:sz w:val="24"/>
                <w:szCs w:val="24"/>
              </w:rPr>
              <w:t>5分；未采取扑救措施扣8分。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病虫害防治</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10</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制定有国家储备林《突发有害生物事件应急预</w:t>
            </w:r>
            <w:r>
              <w:rPr>
                <w:rFonts w:hint="eastAsia" w:eastAsia="宋体"/>
                <w:color w:val="000000"/>
                <w:sz w:val="24"/>
                <w:szCs w:val="24"/>
              </w:rPr>
              <w:t>案》，抓好森林植物检疫和检测预报；</w:t>
            </w:r>
            <w:r>
              <w:rPr>
                <w:rFonts w:eastAsia="宋体"/>
                <w:color w:val="000000"/>
                <w:sz w:val="24"/>
                <w:szCs w:val="24"/>
              </w:rPr>
              <w:t>做好病虫害的调查和防治工作，及时改进防治</w:t>
            </w:r>
            <w:r>
              <w:rPr>
                <w:rFonts w:hint="eastAsia" w:eastAsia="宋体"/>
                <w:color w:val="000000"/>
                <w:sz w:val="24"/>
                <w:szCs w:val="24"/>
              </w:rPr>
              <w:t>手段；</w:t>
            </w:r>
            <w:r>
              <w:rPr>
                <w:rFonts w:eastAsia="宋体"/>
                <w:color w:val="000000"/>
                <w:sz w:val="24"/>
                <w:szCs w:val="24"/>
              </w:rPr>
              <w:t>及时有效的控制病虫害的蔓延减少损失等；严格遵守《植物检疫条例》、《植物检疫条例</w:t>
            </w:r>
            <w:r>
              <w:rPr>
                <w:rFonts w:hint="eastAsia" w:eastAsia="宋体"/>
                <w:color w:val="000000"/>
                <w:sz w:val="24"/>
                <w:szCs w:val="24"/>
              </w:rPr>
              <w:t>实施细则》的规定，对林木种子、苗木、木材等</w:t>
            </w:r>
          </w:p>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植物及产品进行复检；</w:t>
            </w:r>
            <w:r>
              <w:rPr>
                <w:rFonts w:eastAsia="宋体"/>
                <w:color w:val="000000"/>
                <w:sz w:val="24"/>
                <w:szCs w:val="24"/>
              </w:rPr>
              <w:t>跨县调剂的种苗具备县级以上森林病虫害防治</w:t>
            </w:r>
            <w:r>
              <w:rPr>
                <w:rFonts w:hint="eastAsia" w:eastAsia="宋体"/>
                <w:color w:val="000000"/>
                <w:sz w:val="24"/>
                <w:szCs w:val="24"/>
              </w:rPr>
              <w:t>检疫部门出具的种苗检疫证书；</w:t>
            </w:r>
            <w:r>
              <w:rPr>
                <w:rFonts w:eastAsia="宋体"/>
                <w:color w:val="000000"/>
                <w:sz w:val="24"/>
                <w:szCs w:val="24"/>
              </w:rPr>
              <w:t>及时、准确上报各种监测数据，准确发布病</w:t>
            </w:r>
            <w:r>
              <w:rPr>
                <w:rFonts w:hint="eastAsia" w:eastAsia="宋体"/>
                <w:color w:val="000000"/>
                <w:sz w:val="24"/>
                <w:szCs w:val="24"/>
              </w:rPr>
              <w:t>虫情预报。</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一项不符扣0.5</w:t>
            </w:r>
            <w:r>
              <w:rPr>
                <w:rFonts w:eastAsia="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监测体系建设和运维</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5</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配备视频监控系统，对管护区的情况进行实时</w:t>
            </w:r>
            <w:r>
              <w:rPr>
                <w:rFonts w:hint="eastAsia" w:eastAsia="宋体"/>
                <w:color w:val="000000"/>
                <w:sz w:val="24"/>
                <w:szCs w:val="24"/>
              </w:rPr>
              <w:t>监控；</w:t>
            </w:r>
            <w:r>
              <w:rPr>
                <w:rFonts w:eastAsia="宋体"/>
                <w:color w:val="000000"/>
                <w:sz w:val="24"/>
                <w:szCs w:val="24"/>
              </w:rPr>
              <w:t>建设森林防火、防灾自动探测预警系统、卡口</w:t>
            </w:r>
            <w:r>
              <w:rPr>
                <w:rFonts w:hint="eastAsia" w:eastAsia="宋体"/>
                <w:color w:val="000000"/>
                <w:sz w:val="24"/>
                <w:szCs w:val="24"/>
              </w:rPr>
              <w:t>监控系统，做到提前准备，降低发生率；</w:t>
            </w:r>
          </w:p>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制定完善的监测管理流程、制定监测目标，遇</w:t>
            </w:r>
            <w:r>
              <w:rPr>
                <w:rFonts w:hint="eastAsia" w:eastAsia="宋体"/>
                <w:color w:val="000000"/>
                <w:sz w:val="24"/>
                <w:szCs w:val="24"/>
              </w:rPr>
              <w:t>到紧急情况能够高效解决；</w:t>
            </w:r>
            <w:r>
              <w:rPr>
                <w:rFonts w:eastAsia="宋体"/>
                <w:color w:val="000000"/>
                <w:sz w:val="24"/>
                <w:szCs w:val="24"/>
              </w:rPr>
              <w:t>做好体系建设和维护工作，定期检查体系漏洞</w:t>
            </w:r>
            <w:r>
              <w:rPr>
                <w:rFonts w:hint="eastAsia" w:eastAsia="宋体"/>
                <w:color w:val="000000"/>
                <w:sz w:val="24"/>
                <w:szCs w:val="24"/>
              </w:rPr>
              <w:t>和总结问题。</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一项不符扣</w:t>
            </w:r>
            <w:r>
              <w:rPr>
                <w:rFonts w:eastAsia="宋体"/>
                <w:color w:val="000000"/>
                <w:sz w:val="24"/>
                <w:szCs w:val="24"/>
              </w:rPr>
              <w:t>0.</w:t>
            </w:r>
            <w:r>
              <w:rPr>
                <w:rFonts w:hint="eastAsia" w:eastAsia="宋体"/>
                <w:color w:val="000000"/>
                <w:sz w:val="24"/>
                <w:szCs w:val="24"/>
              </w:rPr>
              <w:t>5</w:t>
            </w:r>
            <w:r>
              <w:rPr>
                <w:rFonts w:eastAsia="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936" w:type="dxa"/>
            <w:vMerge w:val="restart"/>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森林管护（26分）</w:t>
            </w: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修枝</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3</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定期修剪腐枯枝、病虫枝和损伤枝及有碍交通</w:t>
            </w:r>
            <w:r>
              <w:rPr>
                <w:rFonts w:hint="eastAsia" w:eastAsia="宋体"/>
                <w:color w:val="000000"/>
                <w:sz w:val="24"/>
                <w:szCs w:val="24"/>
              </w:rPr>
              <w:t>安全枝条，修去枯死枝和树冠下部</w:t>
            </w:r>
            <w:r>
              <w:rPr>
                <w:rFonts w:eastAsia="宋体"/>
                <w:color w:val="000000"/>
                <w:sz w:val="24"/>
                <w:szCs w:val="24"/>
              </w:rPr>
              <w:t>1轮～2轮活</w:t>
            </w:r>
            <w:r>
              <w:rPr>
                <w:rFonts w:hint="eastAsia" w:eastAsia="宋体"/>
                <w:color w:val="000000"/>
                <w:sz w:val="24"/>
                <w:szCs w:val="24"/>
              </w:rPr>
              <w:t>枝；</w:t>
            </w:r>
            <w:r>
              <w:rPr>
                <w:rFonts w:eastAsia="宋体"/>
                <w:color w:val="000000"/>
                <w:sz w:val="24"/>
                <w:szCs w:val="24"/>
              </w:rPr>
              <w:t>幼龄林阶段修枝后保留冠长不低于树高的2/3、枝桩尽量修平，剪口不能伤害树干的韧皮部</w:t>
            </w:r>
            <w:r>
              <w:rPr>
                <w:rFonts w:hint="eastAsia" w:eastAsia="宋体"/>
                <w:color w:val="000000"/>
                <w:sz w:val="24"/>
                <w:szCs w:val="24"/>
              </w:rPr>
              <w:t>和木质部；</w:t>
            </w:r>
            <w:r>
              <w:rPr>
                <w:rFonts w:eastAsia="宋体"/>
                <w:color w:val="000000"/>
                <w:sz w:val="24"/>
                <w:szCs w:val="24"/>
              </w:rPr>
              <w:t>中龄林阶段修枝后保留冠长不低于树高的1/2、</w:t>
            </w:r>
            <w:r>
              <w:rPr>
                <w:rFonts w:hint="eastAsia" w:eastAsia="宋体"/>
                <w:color w:val="000000"/>
                <w:sz w:val="24"/>
                <w:szCs w:val="24"/>
              </w:rPr>
              <w:t>枝桩尽量修平，剪口不能伤害树干的韧皮部和木质部；</w:t>
            </w:r>
            <w:r>
              <w:rPr>
                <w:rFonts w:eastAsia="宋体"/>
                <w:color w:val="000000"/>
                <w:sz w:val="24"/>
                <w:szCs w:val="24"/>
              </w:rPr>
              <w:t>对松动、歪斜超过20度的树木支撑要及时扶</w:t>
            </w:r>
            <w:r>
              <w:rPr>
                <w:rFonts w:hint="eastAsia" w:eastAsia="宋体"/>
                <w:color w:val="000000"/>
                <w:sz w:val="24"/>
                <w:szCs w:val="24"/>
              </w:rPr>
              <w:t>正加固，损坏的树木支撑要及时更换补齐。</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一处不符扣</w:t>
            </w:r>
            <w:r>
              <w:rPr>
                <w:rFonts w:eastAsia="宋体"/>
                <w:color w:val="000000"/>
                <w:sz w:val="24"/>
                <w:szCs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林木采伐</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10</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管护范围内林木按照《森林采伐作业规程》（</w:t>
            </w:r>
            <w:r>
              <w:rPr>
                <w:rFonts w:eastAsia="宋体"/>
                <w:color w:val="000000"/>
                <w:sz w:val="24"/>
                <w:szCs w:val="24"/>
              </w:rPr>
              <w:t>LY/T1646-2005）、《短轮伐期和速生丰产用材林采伐</w:t>
            </w:r>
            <w:r>
              <w:rPr>
                <w:rFonts w:hint="eastAsia" w:eastAsia="宋体"/>
                <w:color w:val="000000"/>
                <w:sz w:val="24"/>
                <w:szCs w:val="24"/>
              </w:rPr>
              <w:t>作业规程》（</w:t>
            </w:r>
            <w:r>
              <w:rPr>
                <w:rFonts w:eastAsia="宋体"/>
                <w:color w:val="000000"/>
                <w:sz w:val="24"/>
                <w:szCs w:val="24"/>
              </w:rPr>
              <w:t>LY/T 1724-2008）进行操作，办理</w:t>
            </w:r>
            <w:r>
              <w:rPr>
                <w:rFonts w:hint="eastAsia" w:eastAsia="宋体"/>
                <w:color w:val="000000"/>
                <w:sz w:val="24"/>
                <w:szCs w:val="24"/>
              </w:rPr>
              <w:t>林木采伐许可证，修建集材道，确定采伐目标树，伐后作业管理及安全检查。</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按照规程采伐，达到一般要求得5</w:t>
            </w:r>
            <w:r>
              <w:rPr>
                <w:rFonts w:eastAsia="宋体"/>
                <w:color w:val="000000"/>
                <w:sz w:val="24"/>
                <w:szCs w:val="24"/>
              </w:rPr>
              <w:t>分；合</w:t>
            </w:r>
          </w:p>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理规划采伐作业流程，清洁现场，达到设定要求得8</w:t>
            </w:r>
            <w:r>
              <w:rPr>
                <w:rFonts w:eastAsia="宋体"/>
                <w:color w:val="000000"/>
                <w:sz w:val="24"/>
                <w:szCs w:val="24"/>
              </w:rPr>
              <w:t>分；林木合理采伐，完全符合</w:t>
            </w:r>
            <w:r>
              <w:rPr>
                <w:rFonts w:hint="eastAsia" w:eastAsia="宋体"/>
                <w:color w:val="000000"/>
                <w:sz w:val="24"/>
                <w:szCs w:val="24"/>
              </w:rPr>
              <w:t>采伐要求，做到安全清洁采伐得10</w:t>
            </w:r>
            <w:r>
              <w:rPr>
                <w:rFonts w:eastAsia="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施肥</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3</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追肥施于林木根系集中分布区，不超出树冠覆</w:t>
            </w:r>
            <w:r>
              <w:rPr>
                <w:rFonts w:hint="eastAsia" w:eastAsia="宋体"/>
                <w:color w:val="000000"/>
                <w:sz w:val="24"/>
                <w:szCs w:val="24"/>
              </w:rPr>
              <w:t>盖范围，并用土盖实，避免流失；</w:t>
            </w:r>
            <w:r>
              <w:rPr>
                <w:rFonts w:eastAsia="宋体"/>
                <w:color w:val="000000"/>
                <w:sz w:val="24"/>
                <w:szCs w:val="24"/>
              </w:rPr>
              <w:t>施肥应针对不同树种合理施肥；通过施肥试</w:t>
            </w:r>
            <w:r>
              <w:rPr>
                <w:rFonts w:hint="eastAsia" w:eastAsia="宋体"/>
                <w:color w:val="000000"/>
                <w:sz w:val="24"/>
                <w:szCs w:val="24"/>
              </w:rPr>
              <w:t>验进行测土配方施肥；</w:t>
            </w:r>
            <w:r>
              <w:rPr>
                <w:rFonts w:eastAsia="宋体"/>
                <w:color w:val="000000"/>
                <w:sz w:val="24"/>
                <w:szCs w:val="24"/>
              </w:rPr>
              <w:t>造林后连续施追肥3年，每年1次，平均每次</w:t>
            </w:r>
            <w:r>
              <w:rPr>
                <w:rFonts w:hint="eastAsia" w:eastAsia="宋体"/>
                <w:color w:val="000000"/>
                <w:sz w:val="24"/>
                <w:szCs w:val="24"/>
              </w:rPr>
              <w:t>每株苗木施复合肥</w:t>
            </w:r>
            <w:r>
              <w:rPr>
                <w:rFonts w:eastAsia="宋体"/>
                <w:color w:val="000000"/>
                <w:sz w:val="24"/>
                <w:szCs w:val="24"/>
              </w:rPr>
              <w:t>1kg；对林木进行喷施药物。</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一项不符扣</w:t>
            </w:r>
            <w:r>
              <w:rPr>
                <w:rFonts w:eastAsia="宋体"/>
                <w:color w:val="00000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浇水和节水</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8</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苗木栽植后须及时进行浇水灌溉，及时浇足、</w:t>
            </w:r>
            <w:r>
              <w:rPr>
                <w:rFonts w:hint="eastAsia" w:eastAsia="宋体"/>
                <w:color w:val="000000"/>
                <w:sz w:val="24"/>
                <w:szCs w:val="24"/>
              </w:rPr>
              <w:t>浇透定根水，两周内每周浇水一次；</w:t>
            </w:r>
            <w:r>
              <w:rPr>
                <w:rFonts w:eastAsia="宋体"/>
                <w:color w:val="000000"/>
                <w:sz w:val="24"/>
                <w:szCs w:val="24"/>
              </w:rPr>
              <w:t>以后应视气候和土壤墒情及时组织抗旱；栽后三年内每年10-11月浇一次冻水，防止秋</w:t>
            </w:r>
            <w:r>
              <w:rPr>
                <w:rFonts w:hint="eastAsia" w:eastAsia="宋体"/>
                <w:color w:val="000000"/>
                <w:sz w:val="24"/>
                <w:szCs w:val="24"/>
              </w:rPr>
              <w:t>旱及春旱；</w:t>
            </w:r>
            <w:r>
              <w:rPr>
                <w:rFonts w:eastAsia="宋体"/>
                <w:color w:val="000000"/>
                <w:sz w:val="24"/>
                <w:szCs w:val="24"/>
              </w:rPr>
              <w:t>采用穴浇、喷灌、滴灌，尽可能避免漫灌；提</w:t>
            </w:r>
            <w:r>
              <w:rPr>
                <w:rFonts w:hint="eastAsia" w:eastAsia="宋体"/>
                <w:color w:val="000000"/>
                <w:sz w:val="24"/>
                <w:szCs w:val="24"/>
              </w:rPr>
              <w:t>倡采用滴灌或喷灌等节水措施；</w:t>
            </w:r>
            <w:r>
              <w:rPr>
                <w:rFonts w:eastAsia="宋体"/>
                <w:color w:val="000000"/>
                <w:sz w:val="24"/>
                <w:szCs w:val="24"/>
              </w:rPr>
              <w:t>在灌溉过程中，采用多次、少量的喷洒方式，</w:t>
            </w:r>
            <w:r>
              <w:rPr>
                <w:rFonts w:hint="eastAsia" w:eastAsia="宋体"/>
                <w:color w:val="000000"/>
                <w:sz w:val="24"/>
                <w:szCs w:val="24"/>
              </w:rPr>
              <w:t>达到减少用水量的目的，提高水资源利用率；</w:t>
            </w:r>
            <w:r>
              <w:rPr>
                <w:rFonts w:eastAsia="宋体"/>
                <w:color w:val="000000"/>
                <w:sz w:val="24"/>
                <w:szCs w:val="24"/>
              </w:rPr>
              <w:t>林木养护过程中，保留种植穴周边的杂草灌木，</w:t>
            </w:r>
            <w:r>
              <w:rPr>
                <w:rFonts w:hint="eastAsia" w:eastAsia="宋体"/>
                <w:color w:val="000000"/>
                <w:sz w:val="24"/>
                <w:szCs w:val="24"/>
              </w:rPr>
              <w:t>将垦除的杂草灌木放入树木根，起到节水、保湿作用。</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核查养护日志，并抽检核实。未达标的少一次扣</w:t>
            </w:r>
            <w:r>
              <w:rPr>
                <w:rFonts w:eastAsia="宋体"/>
                <w:color w:val="000000"/>
                <w:sz w:val="24"/>
                <w:szCs w:val="24"/>
              </w:rPr>
              <w:t>1分，扣满</w:t>
            </w:r>
            <w:r>
              <w:rPr>
                <w:rFonts w:hint="eastAsia" w:eastAsia="宋体"/>
                <w:color w:val="000000"/>
                <w:sz w:val="24"/>
                <w:szCs w:val="24"/>
              </w:rPr>
              <w:t>10</w:t>
            </w:r>
            <w:r>
              <w:rPr>
                <w:rFonts w:eastAsia="宋体"/>
                <w:color w:val="000000"/>
                <w:sz w:val="24"/>
                <w:szCs w:val="24"/>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割灌除草</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2</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影响树种幼苗幼树生长的杂灌杂草和藤本植物</w:t>
            </w:r>
            <w:r>
              <w:rPr>
                <w:rFonts w:hint="eastAsia" w:eastAsia="宋体"/>
                <w:color w:val="000000"/>
                <w:sz w:val="24"/>
                <w:szCs w:val="24"/>
              </w:rPr>
              <w:t>全部割除；提倡围绕树种幼苗幼树进行局部割灌，避免全面割灌；</w:t>
            </w:r>
            <w:r>
              <w:rPr>
                <w:rFonts w:eastAsia="宋体"/>
                <w:color w:val="000000"/>
                <w:sz w:val="24"/>
                <w:szCs w:val="24"/>
              </w:rPr>
              <w:t>割灌除草施工要注重保护珍稀濒危树木、林窗</w:t>
            </w:r>
            <w:r>
              <w:rPr>
                <w:rFonts w:hint="eastAsia" w:eastAsia="宋体"/>
                <w:color w:val="000000"/>
                <w:sz w:val="24"/>
                <w:szCs w:val="24"/>
              </w:rPr>
              <w:t>处的幼树幼苗及林下有生长潜力的幼树幼苗。</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一项不符扣</w:t>
            </w:r>
            <w:r>
              <w:rPr>
                <w:rFonts w:eastAsia="宋体"/>
                <w:color w:val="00000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36" w:type="dxa"/>
            <w:vMerge w:val="restart"/>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森林抚育</w:t>
            </w:r>
          </w:p>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（16）</w:t>
            </w: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抚育方式</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2</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储备林抚育方式应按照项目作业设计要求执行</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符合作业设计得1</w:t>
            </w:r>
            <w:r>
              <w:rPr>
                <w:rFonts w:eastAsia="宋体"/>
                <w:color w:val="000000"/>
                <w:sz w:val="24"/>
                <w:szCs w:val="24"/>
              </w:rPr>
              <w:t>分，改变作业方式的为</w:t>
            </w:r>
            <w:r>
              <w:rPr>
                <w:rFonts w:hint="eastAsia" w:eastAsia="宋体"/>
                <w:color w:val="000000"/>
                <w:sz w:val="24"/>
                <w:szCs w:val="24"/>
              </w:rPr>
              <w:t>不合格，不得分。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作业面积</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1</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作业面积和设计面积相符合，达到项目设计面积要求。</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作业面积超过设计面积</w:t>
            </w:r>
            <w:r>
              <w:rPr>
                <w:rFonts w:eastAsia="宋体"/>
                <w:color w:val="000000"/>
                <w:sz w:val="24"/>
                <w:szCs w:val="24"/>
              </w:rPr>
              <w:t>95%以上的，得1</w:t>
            </w:r>
            <w:r>
              <w:rPr>
                <w:rFonts w:hint="eastAsia" w:eastAsia="宋体"/>
                <w:color w:val="000000"/>
                <w:sz w:val="24"/>
                <w:szCs w:val="24"/>
              </w:rPr>
              <w:t>分，每降低</w:t>
            </w:r>
            <w:r>
              <w:rPr>
                <w:rFonts w:eastAsia="宋体"/>
                <w:color w:val="000000"/>
                <w:sz w:val="24"/>
                <w:szCs w:val="24"/>
              </w:rPr>
              <w:t>1%扣0.2分，扣完为止。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树种组成</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1</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按照项目树种作业设计，选择树种种植并合理搭配。</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符合作业设计得</w:t>
            </w:r>
            <w:r>
              <w:rPr>
                <w:rFonts w:eastAsia="宋体"/>
                <w:color w:val="000000"/>
                <w:sz w:val="24"/>
                <w:szCs w:val="24"/>
              </w:rPr>
              <w:t>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集材</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2</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树苗、移植大苗的损伤率控制在合理范围内，提高幼苗存活率。</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幼苗、幼树损伤率超过调查采伐面积中幼苗、幼树总株数</w:t>
            </w:r>
            <w:r>
              <w:rPr>
                <w:rFonts w:eastAsia="宋体"/>
                <w:color w:val="000000"/>
                <w:sz w:val="24"/>
                <w:szCs w:val="24"/>
              </w:rPr>
              <w:t>30%的不得分。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间伐</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6</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目标数或采伐木标号准确；采伐目标树符合采伐标准要求；对应采伐树木合理采伐，不能漏采；郁闭度符合设计要求；伐后林木分布均匀，无林窗和空地；10cm以上高度的伐根应低于15%。</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标号：目标数或采伐木标号准确得1分；</w:t>
            </w:r>
            <w:r>
              <w:rPr>
                <w:rFonts w:hint="eastAsia" w:eastAsia="宋体"/>
                <w:color w:val="000000"/>
                <w:sz w:val="24"/>
                <w:szCs w:val="24"/>
              </w:rPr>
              <w:t>采伐未标号的树木每采</w:t>
            </w:r>
            <w:r>
              <w:rPr>
                <w:rFonts w:eastAsia="宋体"/>
                <w:color w:val="000000"/>
                <w:sz w:val="24"/>
                <w:szCs w:val="24"/>
              </w:rPr>
              <w:t>1株扣0.2分</w:t>
            </w:r>
            <w:r>
              <w:rPr>
                <w:rFonts w:hint="eastAsia" w:eastAsia="宋体"/>
                <w:color w:val="000000"/>
                <w:sz w:val="24"/>
                <w:szCs w:val="24"/>
              </w:rPr>
              <w:t>。</w:t>
            </w:r>
          </w:p>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采伐目标树：平均每亩每采1株扣1分，</w:t>
            </w:r>
            <w:r>
              <w:rPr>
                <w:rFonts w:hint="eastAsia" w:eastAsia="宋体"/>
                <w:color w:val="000000"/>
                <w:sz w:val="24"/>
                <w:szCs w:val="24"/>
              </w:rPr>
              <w:t>超过</w:t>
            </w:r>
            <w:r>
              <w:rPr>
                <w:rFonts w:eastAsia="宋体"/>
                <w:color w:val="000000"/>
                <w:sz w:val="24"/>
                <w:szCs w:val="24"/>
              </w:rPr>
              <w:t>2株为不合格作业区</w:t>
            </w:r>
            <w:r>
              <w:rPr>
                <w:rFonts w:hint="eastAsia" w:eastAsia="宋体"/>
                <w:color w:val="000000"/>
                <w:sz w:val="24"/>
                <w:szCs w:val="24"/>
              </w:rPr>
              <w:t>。</w:t>
            </w:r>
            <w:r>
              <w:rPr>
                <w:rFonts w:eastAsia="宋体"/>
                <w:color w:val="000000"/>
                <w:sz w:val="24"/>
                <w:szCs w:val="24"/>
              </w:rPr>
              <w:t>应采未采木：平均每亩应采木漏采1株，</w:t>
            </w:r>
            <w:r>
              <w:rPr>
                <w:rFonts w:hint="eastAsia" w:eastAsia="宋体"/>
                <w:color w:val="000000"/>
                <w:sz w:val="24"/>
                <w:szCs w:val="24"/>
              </w:rPr>
              <w:t>扣</w:t>
            </w:r>
            <w:r>
              <w:rPr>
                <w:rFonts w:eastAsia="宋体"/>
                <w:color w:val="000000"/>
                <w:sz w:val="24"/>
                <w:szCs w:val="24"/>
              </w:rPr>
              <w:t>0.5分，扣完为止</w:t>
            </w:r>
            <w:r>
              <w:rPr>
                <w:rFonts w:hint="eastAsia" w:eastAsia="宋体"/>
                <w:color w:val="000000"/>
                <w:sz w:val="24"/>
                <w:szCs w:val="24"/>
              </w:rPr>
              <w:t>。</w:t>
            </w:r>
            <w:r>
              <w:rPr>
                <w:rFonts w:eastAsia="宋体"/>
                <w:color w:val="000000"/>
                <w:sz w:val="24"/>
                <w:szCs w:val="24"/>
              </w:rPr>
              <w:t>郁闭度：符合调查设计要求的得1分，</w:t>
            </w:r>
            <w:r>
              <w:rPr>
                <w:rFonts w:hint="eastAsia" w:eastAsia="宋体"/>
                <w:color w:val="000000"/>
                <w:sz w:val="24"/>
                <w:szCs w:val="24"/>
              </w:rPr>
              <w:t>否则不得分；</w:t>
            </w:r>
            <w:r>
              <w:rPr>
                <w:rFonts w:eastAsia="宋体"/>
                <w:color w:val="000000"/>
                <w:sz w:val="24"/>
                <w:szCs w:val="24"/>
              </w:rPr>
              <w:t>林木分布：伐后林木分布均匀，不造成</w:t>
            </w:r>
            <w:r>
              <w:rPr>
                <w:rFonts w:hint="eastAsia" w:eastAsia="宋体"/>
                <w:color w:val="000000"/>
                <w:sz w:val="24"/>
                <w:szCs w:val="24"/>
              </w:rPr>
              <w:t>林窗，林中空地得</w:t>
            </w:r>
            <w:r>
              <w:rPr>
                <w:rFonts w:eastAsia="宋体"/>
                <w:color w:val="000000"/>
                <w:sz w:val="24"/>
                <w:szCs w:val="24"/>
              </w:rPr>
              <w:t>2分，否则不得分</w:t>
            </w:r>
            <w:r>
              <w:rPr>
                <w:rFonts w:hint="eastAsia" w:eastAsia="宋体"/>
                <w:color w:val="000000"/>
                <w:sz w:val="24"/>
                <w:szCs w:val="24"/>
              </w:rPr>
              <w:t>。</w:t>
            </w:r>
            <w:r>
              <w:rPr>
                <w:rFonts w:eastAsia="宋体"/>
                <w:color w:val="000000"/>
                <w:sz w:val="24"/>
                <w:szCs w:val="24"/>
              </w:rPr>
              <w:t>伐根：10cm以上高度的伐根应低于15%</w:t>
            </w:r>
            <w:r>
              <w:rPr>
                <w:rFonts w:hint="eastAsia" w:eastAsia="宋体"/>
                <w:color w:val="000000"/>
                <w:sz w:val="24"/>
                <w:szCs w:val="24"/>
              </w:rPr>
              <w:t>，每超过</w:t>
            </w:r>
            <w:r>
              <w:rPr>
                <w:rFonts w:eastAsia="宋体"/>
                <w:color w:val="000000"/>
                <w:sz w:val="24"/>
                <w:szCs w:val="24"/>
              </w:rPr>
              <w:t>1%扣0.5分。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补植</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3</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符合以下条件之一的，可采用补植：</w:t>
            </w:r>
            <w:r>
              <w:rPr>
                <w:rFonts w:eastAsia="宋体"/>
                <w:color w:val="000000"/>
                <w:sz w:val="24"/>
                <w:szCs w:val="24"/>
              </w:rPr>
              <w:t>人工林郁闭成林后的第一个龄级，目的树种、</w:t>
            </w:r>
            <w:r>
              <w:rPr>
                <w:rFonts w:hint="eastAsia" w:eastAsia="宋体"/>
                <w:color w:val="000000"/>
                <w:sz w:val="24"/>
                <w:szCs w:val="24"/>
              </w:rPr>
              <w:t>辅助树种的幼苗幼树保存率小于</w:t>
            </w:r>
            <w:r>
              <w:rPr>
                <w:rFonts w:eastAsia="宋体"/>
                <w:color w:val="000000"/>
                <w:sz w:val="24"/>
                <w:szCs w:val="24"/>
              </w:rPr>
              <w:t>80%；郁闭成林后的第二个龄级及以后各龄级，郁闭</w:t>
            </w:r>
            <w:r>
              <w:rPr>
                <w:rFonts w:hint="eastAsia" w:eastAsia="宋体"/>
                <w:color w:val="000000"/>
                <w:sz w:val="24"/>
                <w:szCs w:val="24"/>
              </w:rPr>
              <w:t>度小于</w:t>
            </w:r>
            <w:r>
              <w:rPr>
                <w:rFonts w:eastAsia="宋体"/>
                <w:color w:val="000000"/>
                <w:sz w:val="24"/>
                <w:szCs w:val="24"/>
              </w:rPr>
              <w:t>0.5；采伐后，郁闭度小于0.5的；含有大于25㎡林中空地的；尽量不破坏原有的林下植被，尽可能减少对土</w:t>
            </w:r>
            <w:r>
              <w:rPr>
                <w:rFonts w:hint="eastAsia" w:eastAsia="宋体"/>
                <w:color w:val="000000"/>
                <w:sz w:val="24"/>
                <w:szCs w:val="24"/>
              </w:rPr>
              <w:t>壤的扰动。</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补植树种选择科学合理得1分；补植后成活率达85%以上，三年保存率</w:t>
            </w:r>
            <w:r>
              <w:rPr>
                <w:rFonts w:hint="eastAsia" w:eastAsia="宋体"/>
                <w:color w:val="000000"/>
                <w:sz w:val="24"/>
                <w:szCs w:val="24"/>
              </w:rPr>
              <w:t>达</w:t>
            </w:r>
            <w:r>
              <w:rPr>
                <w:rFonts w:eastAsia="宋体"/>
                <w:color w:val="000000"/>
                <w:sz w:val="24"/>
                <w:szCs w:val="24"/>
              </w:rPr>
              <w:t>80%以上得1分。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水土流失</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1</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建设时抚育作业生活区破坏的山体及时回填；对可能发生冲刷的集材道及时做处理；集材道出现冲刷情况及时整治。</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抚育作业生活区建设时破坏的山体未回</w:t>
            </w:r>
            <w:r>
              <w:rPr>
                <w:rFonts w:hint="eastAsia" w:eastAsia="宋体"/>
                <w:color w:val="000000"/>
                <w:sz w:val="24"/>
                <w:szCs w:val="24"/>
              </w:rPr>
              <w:t>填，扣</w:t>
            </w:r>
            <w:r>
              <w:rPr>
                <w:rFonts w:eastAsia="宋体"/>
                <w:color w:val="000000"/>
                <w:sz w:val="24"/>
                <w:szCs w:val="24"/>
              </w:rPr>
              <w:t>0.2分；对可能发生冲刷的集材道未做处理，扣0.4分；处理达不到要求，扣0.2分；集材道出现冲刷，情况轻微的扣0.2分，</w:t>
            </w:r>
            <w:r>
              <w:rPr>
                <w:rFonts w:hint="eastAsia" w:eastAsia="宋体"/>
                <w:color w:val="000000"/>
                <w:sz w:val="24"/>
                <w:szCs w:val="24"/>
              </w:rPr>
              <w:t>较严重的扣</w:t>
            </w:r>
            <w:r>
              <w:rPr>
                <w:rFonts w:eastAsia="宋体"/>
                <w:color w:val="000000"/>
                <w:sz w:val="24"/>
                <w:szCs w:val="24"/>
              </w:rPr>
              <w:t>0.4分，严重的扣</w:t>
            </w:r>
            <w:r>
              <w:rPr>
                <w:rFonts w:hint="eastAsia" w:eastAsia="宋体"/>
                <w:color w:val="000000"/>
                <w:sz w:val="24"/>
                <w:szCs w:val="24"/>
              </w:rPr>
              <w:t>1</w:t>
            </w:r>
            <w:r>
              <w:rPr>
                <w:rFonts w:eastAsia="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36" w:type="dxa"/>
            <w:vMerge w:val="restart"/>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信息档案及</w:t>
            </w:r>
            <w:r>
              <w:rPr>
                <w:rFonts w:eastAsia="宋体"/>
                <w:color w:val="000000"/>
                <w:sz w:val="24"/>
                <w:szCs w:val="24"/>
              </w:rPr>
              <w:t>安全管理</w:t>
            </w:r>
            <w:r>
              <w:rPr>
                <w:rFonts w:hint="eastAsia" w:eastAsia="宋体"/>
                <w:color w:val="000000"/>
                <w:sz w:val="24"/>
                <w:szCs w:val="24"/>
              </w:rPr>
              <w:t>（13分）</w:t>
            </w: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安全管理</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10</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遇暴雨暴风等恶劣天气及时启动安全预</w:t>
            </w:r>
            <w:r>
              <w:rPr>
                <w:rFonts w:hint="eastAsia" w:eastAsia="宋体"/>
                <w:color w:val="000000"/>
                <w:sz w:val="24"/>
                <w:szCs w:val="24"/>
              </w:rPr>
              <w:t>案，保护基地林木成果，</w:t>
            </w:r>
            <w:r>
              <w:rPr>
                <w:rFonts w:eastAsia="宋体"/>
                <w:color w:val="000000"/>
                <w:sz w:val="24"/>
                <w:szCs w:val="24"/>
              </w:rPr>
              <w:t>须在30分钟内到现场；因树木倒伏、枝条断裂，影响到车辆行人安全</w:t>
            </w:r>
          </w:p>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通行的情况，主干道</w:t>
            </w:r>
            <w:r>
              <w:rPr>
                <w:rFonts w:eastAsia="宋体"/>
                <w:color w:val="000000"/>
                <w:sz w:val="24"/>
                <w:szCs w:val="24"/>
              </w:rPr>
              <w:t>3小时内，次干道5小时内</w:t>
            </w:r>
            <w:r>
              <w:rPr>
                <w:rFonts w:hint="eastAsia" w:eastAsia="宋体"/>
                <w:color w:val="000000"/>
                <w:sz w:val="24"/>
                <w:szCs w:val="24"/>
              </w:rPr>
              <w:t>必须完成抢险处置；</w:t>
            </w:r>
          </w:p>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加强管护责任区内所有设施（如堡坎、护坡等）、</w:t>
            </w:r>
            <w:r>
              <w:rPr>
                <w:rFonts w:hint="eastAsia" w:eastAsia="宋体"/>
                <w:color w:val="000000"/>
                <w:sz w:val="24"/>
                <w:szCs w:val="24"/>
              </w:rPr>
              <w:t>植物（特别是高大乔木）的巡视、巡查工作，及时发现、汇报、处置、跟踪安全隐患杜绝安全事故发生；</w:t>
            </w:r>
            <w:r>
              <w:rPr>
                <w:rFonts w:eastAsia="宋体"/>
                <w:color w:val="000000"/>
                <w:sz w:val="24"/>
                <w:szCs w:val="24"/>
              </w:rPr>
              <w:t>林木基地内任何施工须取得相应合法手续，安</w:t>
            </w:r>
            <w:r>
              <w:rPr>
                <w:rFonts w:hint="eastAsia" w:eastAsia="宋体"/>
                <w:color w:val="000000"/>
                <w:sz w:val="24"/>
                <w:szCs w:val="24"/>
              </w:rPr>
              <w:t>全文明施工；</w:t>
            </w:r>
            <w:r>
              <w:rPr>
                <w:rFonts w:eastAsia="宋体"/>
                <w:color w:val="000000"/>
                <w:sz w:val="24"/>
                <w:szCs w:val="24"/>
              </w:rPr>
              <w:t>在项目监管范围内避免发生人员伤亡，开展安</w:t>
            </w:r>
            <w:r>
              <w:rPr>
                <w:rFonts w:hint="eastAsia" w:eastAsia="宋体"/>
                <w:color w:val="000000"/>
                <w:sz w:val="24"/>
                <w:szCs w:val="24"/>
              </w:rPr>
              <w:t>全隐患排查和治理工作，做好相应的安全措施，</w:t>
            </w:r>
          </w:p>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确保人员安全；</w:t>
            </w:r>
            <w:r>
              <w:rPr>
                <w:rFonts w:eastAsia="宋体"/>
                <w:color w:val="000000"/>
                <w:sz w:val="24"/>
                <w:szCs w:val="24"/>
              </w:rPr>
              <w:t>作业机具按照要求使用，避免因操作不当引起</w:t>
            </w:r>
            <w:r>
              <w:rPr>
                <w:rFonts w:hint="eastAsia" w:eastAsia="宋体"/>
                <w:color w:val="000000"/>
                <w:sz w:val="24"/>
                <w:szCs w:val="24"/>
              </w:rPr>
              <w:t>意外事故的发生。</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未达标的发现一处扣</w:t>
            </w:r>
            <w:r>
              <w:rPr>
                <w:rFonts w:eastAsia="宋体"/>
                <w:color w:val="000000"/>
                <w:sz w:val="24"/>
                <w:szCs w:val="24"/>
              </w:rPr>
              <w:t>1分。扣满</w:t>
            </w:r>
            <w:r>
              <w:rPr>
                <w:rFonts w:hint="eastAsia" w:eastAsia="宋体"/>
                <w:color w:val="000000"/>
                <w:sz w:val="24"/>
                <w:szCs w:val="24"/>
              </w:rPr>
              <w:t>10</w:t>
            </w:r>
            <w:r>
              <w:rPr>
                <w:rFonts w:eastAsia="宋体"/>
                <w:color w:val="000000"/>
                <w:sz w:val="24"/>
                <w:szCs w:val="24"/>
              </w:rPr>
              <w:t>分为止。</w:t>
            </w:r>
            <w:r>
              <w:rPr>
                <w:rFonts w:hint="eastAsia" w:eastAsia="宋体"/>
                <w:color w:val="000000"/>
                <w:sz w:val="24"/>
                <w:szCs w:val="24"/>
              </w:rPr>
              <w:t>无安全生产事故记</w:t>
            </w:r>
            <w:r>
              <w:rPr>
                <w:rFonts w:eastAsia="宋体"/>
                <w:color w:val="000000"/>
                <w:sz w:val="24"/>
                <w:szCs w:val="24"/>
              </w:rPr>
              <w:t>2分，每发生一次一般</w:t>
            </w:r>
            <w:r>
              <w:rPr>
                <w:rFonts w:hint="eastAsia" w:eastAsia="宋体"/>
                <w:color w:val="000000"/>
                <w:sz w:val="24"/>
                <w:szCs w:val="24"/>
              </w:rPr>
              <w:t>事故扣</w:t>
            </w:r>
            <w:r>
              <w:rPr>
                <w:rFonts w:eastAsia="宋体"/>
                <w:color w:val="000000"/>
                <w:sz w:val="24"/>
                <w:szCs w:val="24"/>
              </w:rPr>
              <w:t>0.5分，重大事故安全工作，扣</w:t>
            </w:r>
            <w:r>
              <w:rPr>
                <w:rFonts w:hint="eastAsia" w:eastAsia="宋体"/>
                <w:color w:val="000000"/>
                <w:sz w:val="24"/>
                <w:szCs w:val="24"/>
              </w:rPr>
              <w:t>5分。因使用作业工具操作不当引起意外事故的视事故大小扣2</w:t>
            </w:r>
            <w:r>
              <w:rPr>
                <w:rFonts w:eastAsia="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信息收集管理</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1</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及时收集林业信息，更新林业资源数据、易于分析和总结。</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一处不符合扣0.1分。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档案管理</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2</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档案资料齐全、科学分类管理、易于检索；执行《全国木材战略储备生产基地档案信息管</w:t>
            </w:r>
            <w:r>
              <w:rPr>
                <w:rFonts w:hint="eastAsia" w:eastAsia="宋体"/>
                <w:color w:val="000000"/>
                <w:sz w:val="24"/>
                <w:szCs w:val="24"/>
              </w:rPr>
              <w:t>理办法》文件要求；</w:t>
            </w:r>
            <w:r>
              <w:rPr>
                <w:rFonts w:eastAsia="宋体"/>
                <w:color w:val="000000"/>
                <w:sz w:val="24"/>
                <w:szCs w:val="24"/>
              </w:rPr>
              <w:t>森林抚育档案应有纸介质文档和电子文档，遵</w:t>
            </w:r>
            <w:r>
              <w:rPr>
                <w:rFonts w:hint="eastAsia" w:eastAsia="宋体"/>
                <w:color w:val="000000"/>
                <w:sz w:val="24"/>
                <w:szCs w:val="24"/>
              </w:rPr>
              <w:t>循文件材料的形成规律，保持文件之间的历史联系。</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一处不合格扣0.2分。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36" w:type="dxa"/>
            <w:vMerge w:val="restart"/>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林区配套设施</w:t>
            </w:r>
          </w:p>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（6）</w:t>
            </w:r>
          </w:p>
        </w:tc>
        <w:tc>
          <w:tcPr>
            <w:tcW w:w="1091" w:type="dxa"/>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水电</w:t>
            </w:r>
          </w:p>
        </w:tc>
        <w:tc>
          <w:tcPr>
            <w:tcW w:w="676" w:type="dxa"/>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2</w:t>
            </w:r>
          </w:p>
        </w:tc>
        <w:tc>
          <w:tcPr>
            <w:tcW w:w="3765" w:type="dxa"/>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水电配套设施是否运行正常，是否定期维护，出现故障是否及时维修</w:t>
            </w:r>
          </w:p>
        </w:tc>
        <w:tc>
          <w:tcPr>
            <w:tcW w:w="2263" w:type="dxa"/>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故障修复不及时每出现一次扣1分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道路</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2</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林道现状和路径走向是否符合设计标准，是否满足顺畅通行，损坏部位是否及时修复</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损坏修复不及时每出现一次扣0.5分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36" w:type="dxa"/>
            <w:vMerge w:val="continue"/>
            <w:vAlign w:val="center"/>
          </w:tcPr>
          <w:p>
            <w:pPr>
              <w:tabs>
                <w:tab w:val="clear" w:pos="3261"/>
                <w:tab w:val="clear" w:pos="4536"/>
              </w:tabs>
              <w:adjustRightInd w:val="0"/>
              <w:snapToGrid w:val="0"/>
              <w:ind w:firstLine="0" w:firstLineChars="0"/>
              <w:rPr>
                <w:rFonts w:eastAsia="宋体"/>
                <w:color w:val="000000"/>
                <w:sz w:val="24"/>
                <w:szCs w:val="24"/>
              </w:rPr>
            </w:pPr>
          </w:p>
        </w:tc>
        <w:tc>
          <w:tcPr>
            <w:tcW w:w="1091" w:type="dxa"/>
            <w:vAlign w:val="center"/>
          </w:tcPr>
          <w:p>
            <w:pPr>
              <w:tabs>
                <w:tab w:val="clear" w:pos="3261"/>
                <w:tab w:val="clear" w:pos="4536"/>
              </w:tabs>
              <w:adjustRightInd w:val="0"/>
              <w:snapToGrid w:val="0"/>
              <w:ind w:firstLine="0" w:firstLineChars="0"/>
              <w:rPr>
                <w:rFonts w:eastAsia="宋体"/>
                <w:color w:val="000000"/>
                <w:sz w:val="24"/>
                <w:szCs w:val="24"/>
              </w:rPr>
            </w:pPr>
            <w:r>
              <w:rPr>
                <w:rFonts w:eastAsia="宋体"/>
                <w:color w:val="000000"/>
                <w:sz w:val="24"/>
                <w:szCs w:val="24"/>
              </w:rPr>
              <w:t>护林设施</w:t>
            </w:r>
          </w:p>
        </w:tc>
        <w:tc>
          <w:tcPr>
            <w:tcW w:w="676" w:type="dxa"/>
            <w:vAlign w:val="center"/>
          </w:tcPr>
          <w:p>
            <w:pPr>
              <w:tabs>
                <w:tab w:val="clear" w:pos="3261"/>
                <w:tab w:val="clear" w:pos="4536"/>
              </w:tabs>
              <w:adjustRightInd w:val="0"/>
              <w:snapToGrid w:val="0"/>
              <w:ind w:firstLine="0" w:firstLineChars="0"/>
              <w:jc w:val="center"/>
              <w:rPr>
                <w:rFonts w:eastAsia="宋体"/>
                <w:color w:val="000000"/>
                <w:sz w:val="24"/>
                <w:szCs w:val="24"/>
              </w:rPr>
            </w:pPr>
            <w:r>
              <w:rPr>
                <w:rFonts w:hint="eastAsia" w:eastAsia="宋体"/>
                <w:color w:val="000000"/>
                <w:sz w:val="24"/>
                <w:szCs w:val="24"/>
              </w:rPr>
              <w:t>2</w:t>
            </w:r>
          </w:p>
        </w:tc>
        <w:tc>
          <w:tcPr>
            <w:tcW w:w="3765"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护林房是否满足正常使用条件、是否出现挪作他用的情况，巡逻车配备数量是否充足、是否定期检修，护林标志牌配备数量是否充足、公示内容是否符合要求科研宣传推广设施是否处于正常使用状态。</w:t>
            </w:r>
          </w:p>
        </w:tc>
        <w:tc>
          <w:tcPr>
            <w:tcW w:w="2263" w:type="dxa"/>
            <w:vAlign w:val="center"/>
          </w:tcPr>
          <w:p>
            <w:pPr>
              <w:tabs>
                <w:tab w:val="clear" w:pos="3261"/>
                <w:tab w:val="clear" w:pos="4536"/>
              </w:tabs>
              <w:adjustRightInd w:val="0"/>
              <w:snapToGrid w:val="0"/>
              <w:ind w:firstLine="0" w:firstLineChars="0"/>
              <w:rPr>
                <w:rFonts w:eastAsia="宋体"/>
                <w:color w:val="000000"/>
                <w:sz w:val="24"/>
                <w:szCs w:val="24"/>
              </w:rPr>
            </w:pPr>
            <w:r>
              <w:rPr>
                <w:rFonts w:hint="eastAsia" w:eastAsia="宋体"/>
                <w:color w:val="000000"/>
                <w:sz w:val="24"/>
                <w:szCs w:val="24"/>
              </w:rPr>
              <w:t>一项不达标扣0.</w:t>
            </w:r>
            <w:r>
              <w:rPr>
                <w:rFonts w:eastAsia="宋体"/>
                <w:color w:val="000000"/>
                <w:sz w:val="24"/>
                <w:szCs w:val="24"/>
              </w:rPr>
              <w:t>5</w:t>
            </w:r>
            <w:r>
              <w:rPr>
                <w:rFonts w:hint="eastAsia" w:eastAsia="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8731" w:type="dxa"/>
            <w:gridSpan w:val="5"/>
            <w:vAlign w:val="center"/>
          </w:tcPr>
          <w:p>
            <w:pPr>
              <w:tabs>
                <w:tab w:val="clear" w:pos="3261"/>
                <w:tab w:val="clear" w:pos="4536"/>
              </w:tabs>
              <w:adjustRightInd w:val="0"/>
              <w:snapToGrid w:val="0"/>
              <w:ind w:firstLine="0" w:firstLineChars="0"/>
              <w:jc w:val="left"/>
              <w:rPr>
                <w:rFonts w:eastAsia="宋体"/>
                <w:color w:val="000000"/>
                <w:sz w:val="24"/>
                <w:szCs w:val="24"/>
              </w:rPr>
            </w:pPr>
            <w:r>
              <w:rPr>
                <w:rFonts w:hint="eastAsia" w:eastAsia="宋体"/>
                <w:color w:val="000000"/>
                <w:sz w:val="24"/>
                <w:szCs w:val="24"/>
              </w:rPr>
              <w:t>注：项目执行阶段应在本表基础上对考核内容和评分标准进行修改、细化或补充，以项目实施机构、财政部门等组成的绩效考核小组确定的绩效考核办法为准。</w:t>
            </w:r>
          </w:p>
        </w:tc>
      </w:tr>
    </w:tbl>
    <w:p>
      <w:pPr>
        <w:tabs>
          <w:tab w:val="clear" w:pos="3261"/>
          <w:tab w:val="clear" w:pos="4536"/>
        </w:tabs>
        <w:autoSpaceDE w:val="0"/>
        <w:autoSpaceDN w:val="0"/>
        <w:adjustRightInd w:val="0"/>
        <w:spacing w:line="360" w:lineRule="auto"/>
        <w:ind w:firstLine="560" w:firstLineChars="200"/>
        <w:jc w:val="center"/>
        <w:rPr>
          <w:color w:val="000000"/>
        </w:rPr>
      </w:pPr>
      <w:r>
        <w:rPr>
          <w:rFonts w:hint="eastAsia"/>
          <w:color w:val="000000"/>
        </w:rPr>
        <w:t>表3.12 运维</w:t>
      </w:r>
      <w:r>
        <w:rPr>
          <w:color w:val="000000"/>
        </w:rPr>
        <w:t>绩效考核系数</w:t>
      </w:r>
    </w:p>
    <w:tbl>
      <w:tblPr>
        <w:tblStyle w:val="251"/>
        <w:tblW w:w="8890" w:type="dxa"/>
        <w:tblInd w:w="-109" w:type="dxa"/>
        <w:tblLayout w:type="fixed"/>
        <w:tblCellMar>
          <w:top w:w="63" w:type="dxa"/>
          <w:left w:w="115" w:type="dxa"/>
          <w:bottom w:w="0" w:type="dxa"/>
          <w:right w:w="115" w:type="dxa"/>
        </w:tblCellMar>
      </w:tblPr>
      <w:tblGrid>
        <w:gridCol w:w="1380"/>
        <w:gridCol w:w="4544"/>
        <w:gridCol w:w="2966"/>
      </w:tblGrid>
      <w:tr>
        <w:tblPrEx>
          <w:tblLayout w:type="fixed"/>
          <w:tblCellMar>
            <w:top w:w="63" w:type="dxa"/>
            <w:left w:w="115" w:type="dxa"/>
            <w:bottom w:w="0" w:type="dxa"/>
            <w:right w:w="115" w:type="dxa"/>
          </w:tblCellMar>
        </w:tblPrEx>
        <w:trPr>
          <w:trHeight w:val="350" w:hRule="atLeast"/>
          <w:tblHeader/>
        </w:trPr>
        <w:tc>
          <w:tcPr>
            <w:tcW w:w="1380"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7" w:firstLineChars="0"/>
              <w:jc w:val="center"/>
              <w:rPr>
                <w:rFonts w:eastAsia="等线"/>
                <w:b/>
                <w:color w:val="000000"/>
                <w:kern w:val="0"/>
                <w:sz w:val="24"/>
                <w:szCs w:val="24"/>
              </w:rPr>
            </w:pPr>
            <w:r>
              <w:rPr>
                <w:rFonts w:eastAsia="等线"/>
                <w:b/>
                <w:color w:val="000000"/>
                <w:kern w:val="0"/>
                <w:sz w:val="24"/>
                <w:szCs w:val="24"/>
              </w:rPr>
              <w:t>序号</w:t>
            </w:r>
          </w:p>
        </w:tc>
        <w:tc>
          <w:tcPr>
            <w:tcW w:w="4544"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b/>
                <w:color w:val="000000"/>
                <w:kern w:val="0"/>
                <w:sz w:val="24"/>
                <w:szCs w:val="24"/>
              </w:rPr>
            </w:pPr>
            <w:r>
              <w:rPr>
                <w:rFonts w:eastAsia="等线"/>
                <w:b/>
                <w:color w:val="000000"/>
                <w:kern w:val="0"/>
                <w:sz w:val="24"/>
                <w:szCs w:val="24"/>
              </w:rPr>
              <w:t>绩效考核得分</w:t>
            </w:r>
          </w:p>
        </w:tc>
        <w:tc>
          <w:tcPr>
            <w:tcW w:w="2966"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b/>
                <w:color w:val="000000"/>
                <w:kern w:val="0"/>
                <w:sz w:val="24"/>
                <w:szCs w:val="24"/>
              </w:rPr>
            </w:pPr>
            <w:r>
              <w:rPr>
                <w:rFonts w:eastAsia="等线"/>
                <w:b/>
                <w:color w:val="000000"/>
                <w:kern w:val="0"/>
                <w:sz w:val="24"/>
                <w:szCs w:val="24"/>
              </w:rPr>
              <w:t>绩效考核系数</w:t>
            </w:r>
          </w:p>
        </w:tc>
      </w:tr>
      <w:tr>
        <w:tblPrEx>
          <w:tblLayout w:type="fixed"/>
          <w:tblCellMar>
            <w:top w:w="63" w:type="dxa"/>
            <w:left w:w="115" w:type="dxa"/>
            <w:bottom w:w="0" w:type="dxa"/>
            <w:right w:w="115" w:type="dxa"/>
          </w:tblCellMar>
        </w:tblPrEx>
        <w:trPr>
          <w:trHeight w:val="350" w:hRule="atLeast"/>
        </w:trPr>
        <w:tc>
          <w:tcPr>
            <w:tcW w:w="1380"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rPr>
                <w:rFonts w:eastAsia="等线"/>
                <w:color w:val="000000"/>
                <w:kern w:val="0"/>
                <w:sz w:val="24"/>
                <w:szCs w:val="24"/>
              </w:rPr>
            </w:pPr>
            <w:r>
              <w:rPr>
                <w:rFonts w:eastAsia="等线"/>
                <w:color w:val="000000"/>
                <w:kern w:val="0"/>
                <w:sz w:val="24"/>
                <w:szCs w:val="24"/>
              </w:rPr>
              <w:t>1</w:t>
            </w:r>
          </w:p>
        </w:tc>
        <w:tc>
          <w:tcPr>
            <w:tcW w:w="4544"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hint="eastAsia" w:eastAsia="等线"/>
                <w:color w:val="000000"/>
                <w:kern w:val="0"/>
                <w:sz w:val="24"/>
                <w:szCs w:val="24"/>
              </w:rPr>
              <w:t>[85</w:t>
            </w:r>
            <w:r>
              <w:rPr>
                <w:rFonts w:eastAsia="等线"/>
                <w:color w:val="000000"/>
                <w:kern w:val="0"/>
                <w:sz w:val="24"/>
                <w:szCs w:val="24"/>
              </w:rPr>
              <w:t>-100</w:t>
            </w:r>
            <w:r>
              <w:rPr>
                <w:rFonts w:hint="eastAsia" w:eastAsia="等线"/>
                <w:color w:val="000000"/>
                <w:kern w:val="0"/>
                <w:sz w:val="24"/>
                <w:szCs w:val="24"/>
              </w:rPr>
              <w:t>]</w:t>
            </w:r>
          </w:p>
        </w:tc>
        <w:tc>
          <w:tcPr>
            <w:tcW w:w="2966"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eastAsia="等线"/>
                <w:color w:val="000000"/>
                <w:kern w:val="0"/>
                <w:sz w:val="24"/>
                <w:szCs w:val="24"/>
              </w:rPr>
              <w:t>1</w:t>
            </w:r>
          </w:p>
        </w:tc>
      </w:tr>
      <w:tr>
        <w:tblPrEx>
          <w:tblLayout w:type="fixed"/>
          <w:tblCellMar>
            <w:top w:w="63" w:type="dxa"/>
            <w:left w:w="115" w:type="dxa"/>
            <w:bottom w:w="0" w:type="dxa"/>
            <w:right w:w="115" w:type="dxa"/>
          </w:tblCellMar>
        </w:tblPrEx>
        <w:trPr>
          <w:trHeight w:val="350" w:hRule="atLeast"/>
        </w:trPr>
        <w:tc>
          <w:tcPr>
            <w:tcW w:w="1380"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rPr>
                <w:rFonts w:eastAsia="等线"/>
                <w:color w:val="000000"/>
                <w:kern w:val="0"/>
                <w:sz w:val="24"/>
                <w:szCs w:val="24"/>
              </w:rPr>
            </w:pPr>
            <w:r>
              <w:rPr>
                <w:rFonts w:eastAsia="等线"/>
                <w:color w:val="000000"/>
                <w:kern w:val="0"/>
                <w:sz w:val="24"/>
                <w:szCs w:val="24"/>
              </w:rPr>
              <w:t>2</w:t>
            </w:r>
          </w:p>
        </w:tc>
        <w:tc>
          <w:tcPr>
            <w:tcW w:w="4544"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hint="eastAsia" w:eastAsia="等线"/>
                <w:color w:val="000000"/>
                <w:kern w:val="0"/>
                <w:sz w:val="24"/>
                <w:szCs w:val="24"/>
              </w:rPr>
              <w:t>[75</w:t>
            </w:r>
            <w:r>
              <w:rPr>
                <w:rFonts w:eastAsia="等线"/>
                <w:color w:val="000000"/>
                <w:kern w:val="0"/>
                <w:sz w:val="24"/>
                <w:szCs w:val="24"/>
              </w:rPr>
              <w:t>-</w:t>
            </w:r>
            <w:r>
              <w:rPr>
                <w:rFonts w:hint="eastAsia" w:eastAsia="等线"/>
                <w:color w:val="000000"/>
                <w:kern w:val="0"/>
                <w:sz w:val="24"/>
                <w:szCs w:val="24"/>
              </w:rPr>
              <w:t>8</w:t>
            </w:r>
            <w:r>
              <w:rPr>
                <w:rFonts w:eastAsia="等线"/>
                <w:color w:val="000000"/>
                <w:kern w:val="0"/>
                <w:sz w:val="24"/>
                <w:szCs w:val="24"/>
              </w:rPr>
              <w:t>5）</w:t>
            </w:r>
          </w:p>
        </w:tc>
        <w:tc>
          <w:tcPr>
            <w:tcW w:w="2966"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eastAsia="等线"/>
                <w:color w:val="000000"/>
                <w:kern w:val="0"/>
                <w:sz w:val="24"/>
                <w:szCs w:val="24"/>
              </w:rPr>
              <w:t>0.9</w:t>
            </w:r>
          </w:p>
        </w:tc>
      </w:tr>
      <w:tr>
        <w:tblPrEx>
          <w:tblLayout w:type="fixed"/>
          <w:tblCellMar>
            <w:top w:w="63" w:type="dxa"/>
            <w:left w:w="115" w:type="dxa"/>
            <w:bottom w:w="0" w:type="dxa"/>
            <w:right w:w="115" w:type="dxa"/>
          </w:tblCellMar>
        </w:tblPrEx>
        <w:trPr>
          <w:trHeight w:val="350" w:hRule="atLeast"/>
        </w:trPr>
        <w:tc>
          <w:tcPr>
            <w:tcW w:w="1380"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rPr>
                <w:rFonts w:eastAsia="等线"/>
                <w:color w:val="000000"/>
                <w:kern w:val="0"/>
                <w:sz w:val="24"/>
                <w:szCs w:val="24"/>
              </w:rPr>
            </w:pPr>
            <w:r>
              <w:rPr>
                <w:rFonts w:eastAsia="等线"/>
                <w:color w:val="000000"/>
                <w:kern w:val="0"/>
                <w:sz w:val="24"/>
                <w:szCs w:val="24"/>
              </w:rPr>
              <w:t>3</w:t>
            </w:r>
          </w:p>
        </w:tc>
        <w:tc>
          <w:tcPr>
            <w:tcW w:w="4544"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hint="eastAsia" w:eastAsia="等线"/>
                <w:color w:val="000000"/>
                <w:kern w:val="0"/>
                <w:sz w:val="24"/>
                <w:szCs w:val="24"/>
              </w:rPr>
              <w:t>[65</w:t>
            </w:r>
            <w:r>
              <w:rPr>
                <w:rFonts w:eastAsia="等线"/>
                <w:color w:val="000000"/>
                <w:kern w:val="0"/>
                <w:sz w:val="24"/>
                <w:szCs w:val="24"/>
              </w:rPr>
              <w:t>-</w:t>
            </w:r>
            <w:r>
              <w:rPr>
                <w:rFonts w:hint="eastAsia" w:eastAsia="等线"/>
                <w:color w:val="000000"/>
                <w:kern w:val="0"/>
                <w:sz w:val="24"/>
                <w:szCs w:val="24"/>
              </w:rPr>
              <w:t>75</w:t>
            </w:r>
            <w:r>
              <w:rPr>
                <w:rFonts w:eastAsia="等线"/>
                <w:color w:val="000000"/>
                <w:kern w:val="0"/>
                <w:sz w:val="24"/>
                <w:szCs w:val="24"/>
              </w:rPr>
              <w:t>）</w:t>
            </w:r>
          </w:p>
        </w:tc>
        <w:tc>
          <w:tcPr>
            <w:tcW w:w="2966"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eastAsia="等线"/>
                <w:color w:val="000000"/>
                <w:kern w:val="0"/>
                <w:sz w:val="24"/>
                <w:szCs w:val="24"/>
              </w:rPr>
              <w:t>0.8</w:t>
            </w:r>
          </w:p>
        </w:tc>
      </w:tr>
      <w:tr>
        <w:tblPrEx>
          <w:tblLayout w:type="fixed"/>
          <w:tblCellMar>
            <w:top w:w="63" w:type="dxa"/>
            <w:left w:w="115" w:type="dxa"/>
            <w:bottom w:w="0" w:type="dxa"/>
            <w:right w:w="115" w:type="dxa"/>
          </w:tblCellMar>
        </w:tblPrEx>
        <w:trPr>
          <w:trHeight w:val="350" w:hRule="atLeast"/>
        </w:trPr>
        <w:tc>
          <w:tcPr>
            <w:tcW w:w="1380"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rPr>
                <w:rFonts w:eastAsia="等线"/>
                <w:color w:val="000000"/>
                <w:kern w:val="0"/>
                <w:sz w:val="24"/>
                <w:szCs w:val="24"/>
              </w:rPr>
            </w:pPr>
            <w:r>
              <w:rPr>
                <w:rFonts w:eastAsia="等线"/>
                <w:color w:val="000000"/>
                <w:kern w:val="0"/>
                <w:sz w:val="24"/>
                <w:szCs w:val="24"/>
              </w:rPr>
              <w:t>4</w:t>
            </w:r>
          </w:p>
        </w:tc>
        <w:tc>
          <w:tcPr>
            <w:tcW w:w="4544"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hint="eastAsia" w:eastAsia="等线"/>
                <w:color w:val="000000"/>
                <w:kern w:val="0"/>
                <w:sz w:val="24"/>
                <w:szCs w:val="24"/>
              </w:rPr>
              <w:t>[</w:t>
            </w:r>
            <w:r>
              <w:rPr>
                <w:rFonts w:eastAsia="等线"/>
                <w:color w:val="000000"/>
                <w:kern w:val="0"/>
                <w:sz w:val="24"/>
                <w:szCs w:val="24"/>
              </w:rPr>
              <w:t>60-</w:t>
            </w:r>
            <w:r>
              <w:rPr>
                <w:rFonts w:hint="eastAsia" w:eastAsia="等线"/>
                <w:color w:val="000000"/>
                <w:kern w:val="0"/>
                <w:sz w:val="24"/>
                <w:szCs w:val="24"/>
              </w:rPr>
              <w:t>65</w:t>
            </w:r>
            <w:r>
              <w:rPr>
                <w:rFonts w:eastAsia="等线"/>
                <w:color w:val="000000"/>
                <w:kern w:val="0"/>
                <w:sz w:val="24"/>
                <w:szCs w:val="24"/>
              </w:rPr>
              <w:t>）</w:t>
            </w:r>
          </w:p>
        </w:tc>
        <w:tc>
          <w:tcPr>
            <w:tcW w:w="2966"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eastAsia="等线"/>
                <w:color w:val="000000"/>
                <w:kern w:val="0"/>
                <w:sz w:val="24"/>
                <w:szCs w:val="24"/>
              </w:rPr>
              <w:t>0.7</w:t>
            </w:r>
          </w:p>
        </w:tc>
      </w:tr>
      <w:tr>
        <w:tblPrEx>
          <w:tblLayout w:type="fixed"/>
          <w:tblCellMar>
            <w:top w:w="63" w:type="dxa"/>
            <w:left w:w="115" w:type="dxa"/>
            <w:bottom w:w="0" w:type="dxa"/>
            <w:right w:w="115" w:type="dxa"/>
          </w:tblCellMar>
        </w:tblPrEx>
        <w:trPr>
          <w:trHeight w:val="350" w:hRule="atLeast"/>
        </w:trPr>
        <w:tc>
          <w:tcPr>
            <w:tcW w:w="1380"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rPr>
                <w:rFonts w:eastAsia="等线"/>
                <w:color w:val="000000"/>
                <w:kern w:val="0"/>
                <w:sz w:val="24"/>
                <w:szCs w:val="24"/>
              </w:rPr>
            </w:pPr>
            <w:r>
              <w:rPr>
                <w:rFonts w:eastAsia="等线"/>
                <w:color w:val="000000"/>
                <w:kern w:val="0"/>
                <w:sz w:val="24"/>
                <w:szCs w:val="24"/>
              </w:rPr>
              <w:t>5</w:t>
            </w:r>
          </w:p>
        </w:tc>
        <w:tc>
          <w:tcPr>
            <w:tcW w:w="4544"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eastAsia="等线"/>
                <w:color w:val="000000"/>
                <w:kern w:val="0"/>
                <w:sz w:val="24"/>
                <w:szCs w:val="24"/>
              </w:rPr>
              <w:t>＜60</w:t>
            </w:r>
          </w:p>
        </w:tc>
        <w:tc>
          <w:tcPr>
            <w:tcW w:w="2966" w:type="dxa"/>
            <w:tcBorders>
              <w:top w:val="single" w:color="000000" w:sz="4" w:space="0"/>
              <w:left w:val="single" w:color="000000" w:sz="4" w:space="0"/>
              <w:bottom w:val="single" w:color="000000" w:sz="4" w:space="0"/>
              <w:right w:val="single" w:color="000000" w:sz="4" w:space="0"/>
            </w:tcBorders>
          </w:tcPr>
          <w:p>
            <w:pPr>
              <w:tabs>
                <w:tab w:val="clear" w:pos="3261"/>
                <w:tab w:val="clear" w:pos="4536"/>
              </w:tabs>
              <w:adjustRightInd w:val="0"/>
              <w:snapToGrid w:val="0"/>
              <w:ind w:firstLine="480" w:firstLineChars="200"/>
              <w:jc w:val="center"/>
              <w:rPr>
                <w:rFonts w:eastAsia="等线"/>
                <w:color w:val="000000"/>
                <w:kern w:val="0"/>
                <w:sz w:val="24"/>
                <w:szCs w:val="24"/>
              </w:rPr>
            </w:pPr>
            <w:r>
              <w:rPr>
                <w:rFonts w:eastAsia="等线"/>
                <w:color w:val="000000"/>
                <w:kern w:val="0"/>
                <w:sz w:val="24"/>
                <w:szCs w:val="24"/>
              </w:rPr>
              <w:t>0</w:t>
            </w:r>
          </w:p>
        </w:tc>
      </w:tr>
    </w:tbl>
    <w:p>
      <w:pPr>
        <w:pStyle w:val="3"/>
        <w:ind w:firstLine="562"/>
        <w:rPr>
          <w:color w:val="000000" w:themeColor="text1"/>
          <w14:textFill>
            <w14:solidFill>
              <w14:schemeClr w14:val="tx1"/>
            </w14:solidFill>
          </w14:textFill>
        </w:rPr>
      </w:pPr>
      <w:bookmarkStart w:id="28" w:name="_Toc3974729"/>
      <w:r>
        <w:rPr>
          <w:rFonts w:hint="eastAsia"/>
          <w:color w:val="000000" w:themeColor="text1"/>
          <w14:textFill>
            <w14:solidFill>
              <w14:schemeClr w14:val="tx1"/>
            </w14:solidFill>
          </w14:textFill>
        </w:rPr>
        <w:t>12、履约保障</w:t>
      </w:r>
      <w:bookmarkEnd w:id="28"/>
    </w:p>
    <w:p>
      <w:pPr>
        <w:tabs>
          <w:tab w:val="clear" w:pos="3261"/>
          <w:tab w:val="clear" w:pos="4536"/>
        </w:tabs>
        <w:spacing w:line="360" w:lineRule="auto"/>
        <w:ind w:firstLine="562" w:firstLineChars="200"/>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表3.13</w:t>
      </w:r>
      <w:r>
        <w:rPr>
          <w:b/>
          <w:color w:val="000000" w:themeColor="text1"/>
          <w14:textFill>
            <w14:solidFill>
              <w14:schemeClr w14:val="tx1"/>
            </w14:solidFill>
          </w14:textFill>
        </w:rPr>
        <w:t xml:space="preserve"> </w:t>
      </w:r>
      <w:r>
        <w:rPr>
          <w:rFonts w:hint="eastAsia"/>
          <w:b/>
          <w:color w:val="000000" w:themeColor="text1"/>
          <w14:textFill>
            <w14:solidFill>
              <w14:schemeClr w14:val="tx1"/>
            </w14:solidFill>
          </w14:textFill>
        </w:rPr>
        <w:t>履约保证边界一览表</w:t>
      </w:r>
    </w:p>
    <w:tbl>
      <w:tblPr>
        <w:tblStyle w:val="44"/>
        <w:tblW w:w="8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548"/>
        <w:gridCol w:w="2119"/>
        <w:gridCol w:w="174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blHeader/>
          <w:jc w:val="center"/>
        </w:trPr>
        <w:tc>
          <w:tcPr>
            <w:tcW w:w="1413" w:type="dxa"/>
            <w:tcMar>
              <w:top w:w="0" w:type="dxa"/>
              <w:left w:w="0" w:type="dxa"/>
              <w:bottom w:w="0" w:type="dxa"/>
              <w:right w:w="0" w:type="dxa"/>
            </w:tcMar>
            <w:vAlign w:val="center"/>
          </w:tcPr>
          <w:p>
            <w:pPr>
              <w:tabs>
                <w:tab w:val="clear" w:pos="3261"/>
                <w:tab w:val="clear" w:pos="4536"/>
              </w:tabs>
              <w:ind w:firstLine="0" w:firstLineChars="0"/>
              <w:jc w:val="center"/>
              <w:rPr>
                <w:rFonts w:cs="Times"/>
                <w:color w:val="000000"/>
                <w:sz w:val="24"/>
                <w:szCs w:val="20"/>
              </w:rPr>
            </w:pPr>
            <w:r>
              <w:rPr>
                <w:rFonts w:hint="eastAsia"/>
                <w:color w:val="000000"/>
                <w:sz w:val="24"/>
                <w:szCs w:val="20"/>
              </w:rPr>
              <w:t>保函名称</w:t>
            </w:r>
          </w:p>
        </w:tc>
        <w:tc>
          <w:tcPr>
            <w:tcW w:w="1548"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投标保证金</w:t>
            </w:r>
          </w:p>
        </w:tc>
        <w:tc>
          <w:tcPr>
            <w:tcW w:w="2119"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建设履约保函</w:t>
            </w:r>
          </w:p>
        </w:tc>
        <w:tc>
          <w:tcPr>
            <w:tcW w:w="1741"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运维保函</w:t>
            </w:r>
          </w:p>
        </w:tc>
        <w:tc>
          <w:tcPr>
            <w:tcW w:w="1501"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移交保函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413"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提交主体</w:t>
            </w:r>
          </w:p>
        </w:tc>
        <w:tc>
          <w:tcPr>
            <w:tcW w:w="1548"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社会资本方</w:t>
            </w:r>
          </w:p>
        </w:tc>
        <w:tc>
          <w:tcPr>
            <w:tcW w:w="2119"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项目公司</w:t>
            </w:r>
          </w:p>
        </w:tc>
        <w:tc>
          <w:tcPr>
            <w:tcW w:w="1741"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项目公司</w:t>
            </w:r>
          </w:p>
        </w:tc>
        <w:tc>
          <w:tcPr>
            <w:tcW w:w="1501"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社会资本方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1413"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提交时间</w:t>
            </w:r>
          </w:p>
        </w:tc>
        <w:tc>
          <w:tcPr>
            <w:tcW w:w="1548"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开标前</w:t>
            </w:r>
          </w:p>
        </w:tc>
        <w:tc>
          <w:tcPr>
            <w:tcW w:w="2119"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color w:val="000000"/>
                <w:sz w:val="24"/>
                <w:szCs w:val="20"/>
              </w:rPr>
              <w:t>签订《PPP项目合同》</w:t>
            </w:r>
            <w:r>
              <w:rPr>
                <w:rFonts w:hint="eastAsia"/>
                <w:color w:val="000000"/>
                <w:sz w:val="24"/>
                <w:szCs w:val="20"/>
              </w:rPr>
              <w:t>15个工作日内</w:t>
            </w:r>
          </w:p>
        </w:tc>
        <w:tc>
          <w:tcPr>
            <w:tcW w:w="1741"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“项目整体竣工验收合格之日”前</w:t>
            </w:r>
          </w:p>
        </w:tc>
        <w:tc>
          <w:tcPr>
            <w:tcW w:w="1501"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移交日前</w:t>
            </w:r>
            <w:r>
              <w:rPr>
                <w:color w:val="000000"/>
                <w:sz w:val="24"/>
                <w:szCs w:val="20"/>
              </w:rPr>
              <w:t>24</w:t>
            </w:r>
            <w:r>
              <w:rPr>
                <w:rFonts w:hint="eastAsia"/>
                <w:color w:val="000000"/>
                <w:sz w:val="24"/>
                <w:szCs w:val="20"/>
              </w:rPr>
              <w:t>个月的对应日期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413"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解除时间</w:t>
            </w:r>
          </w:p>
        </w:tc>
        <w:tc>
          <w:tcPr>
            <w:tcW w:w="1548" w:type="dxa"/>
            <w:tcMar>
              <w:top w:w="0" w:type="dxa"/>
              <w:left w:w="0" w:type="dxa"/>
              <w:bottom w:w="0" w:type="dxa"/>
              <w:right w:w="0" w:type="dxa"/>
            </w:tcMar>
            <w:vAlign w:val="center"/>
          </w:tcPr>
          <w:p>
            <w:pPr>
              <w:tabs>
                <w:tab w:val="clear" w:pos="3261"/>
                <w:tab w:val="clear" w:pos="4536"/>
              </w:tabs>
              <w:ind w:firstLine="0" w:firstLineChars="0"/>
              <w:rPr>
                <w:color w:val="000000"/>
                <w:sz w:val="24"/>
                <w:szCs w:val="20"/>
              </w:rPr>
            </w:pPr>
            <w:r>
              <w:rPr>
                <w:rFonts w:hint="eastAsia"/>
                <w:color w:val="000000"/>
                <w:sz w:val="24"/>
                <w:szCs w:val="20"/>
              </w:rPr>
              <w:t>《</w:t>
            </w:r>
            <w:r>
              <w:rPr>
                <w:color w:val="000000"/>
                <w:sz w:val="24"/>
                <w:szCs w:val="20"/>
              </w:rPr>
              <w:t>PPP</w:t>
            </w:r>
            <w:r>
              <w:rPr>
                <w:rFonts w:hint="eastAsia"/>
                <w:color w:val="000000"/>
                <w:sz w:val="24"/>
                <w:szCs w:val="20"/>
              </w:rPr>
              <w:t>项目合同》签订之日后1</w:t>
            </w:r>
            <w:r>
              <w:rPr>
                <w:color w:val="000000"/>
                <w:sz w:val="24"/>
                <w:szCs w:val="20"/>
              </w:rPr>
              <w:t>5</w:t>
            </w:r>
            <w:r>
              <w:rPr>
                <w:rFonts w:hint="eastAsia"/>
                <w:color w:val="000000"/>
                <w:sz w:val="24"/>
                <w:szCs w:val="20"/>
              </w:rPr>
              <w:t>个工作日内，且中标社会资本按规定提交建设期履约保函后</w:t>
            </w:r>
          </w:p>
        </w:tc>
        <w:tc>
          <w:tcPr>
            <w:tcW w:w="2119"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2"/>
              </w:rPr>
              <w:t>项目竣工验收合格日起且提交运营维护保函后</w:t>
            </w:r>
            <w:r>
              <w:rPr>
                <w:color w:val="000000"/>
                <w:sz w:val="24"/>
                <w:szCs w:val="22"/>
              </w:rPr>
              <w:t>15个工作日内</w:t>
            </w:r>
          </w:p>
        </w:tc>
        <w:tc>
          <w:tcPr>
            <w:tcW w:w="1741" w:type="dxa"/>
            <w:tcMar>
              <w:top w:w="0" w:type="dxa"/>
              <w:left w:w="0" w:type="dxa"/>
              <w:bottom w:w="0" w:type="dxa"/>
              <w:right w:w="0" w:type="dxa"/>
            </w:tcMar>
            <w:vAlign w:val="center"/>
          </w:tcPr>
          <w:p>
            <w:pPr>
              <w:tabs>
                <w:tab w:val="clear" w:pos="3261"/>
                <w:tab w:val="clear" w:pos="4536"/>
              </w:tabs>
              <w:ind w:firstLine="0" w:firstLineChars="0"/>
              <w:rPr>
                <w:color w:val="000000"/>
                <w:sz w:val="24"/>
                <w:szCs w:val="20"/>
              </w:rPr>
            </w:pPr>
            <w:r>
              <w:rPr>
                <w:rFonts w:hint="eastAsia"/>
                <w:color w:val="000000"/>
                <w:sz w:val="24"/>
                <w:szCs w:val="20"/>
              </w:rPr>
              <w:t>移交保函提交之日起的15个工作日内</w:t>
            </w:r>
          </w:p>
        </w:tc>
        <w:tc>
          <w:tcPr>
            <w:tcW w:w="1501" w:type="dxa"/>
            <w:tcMar>
              <w:top w:w="0" w:type="dxa"/>
              <w:left w:w="0" w:type="dxa"/>
              <w:bottom w:w="0" w:type="dxa"/>
              <w:right w:w="0" w:type="dxa"/>
            </w:tcMar>
            <w:vAlign w:val="center"/>
          </w:tcPr>
          <w:p>
            <w:pPr>
              <w:tabs>
                <w:tab w:val="clear" w:pos="3261"/>
                <w:tab w:val="clear" w:pos="4536"/>
              </w:tabs>
              <w:ind w:firstLine="0" w:firstLineChars="0"/>
              <w:rPr>
                <w:color w:val="000000"/>
                <w:sz w:val="24"/>
                <w:szCs w:val="20"/>
              </w:rPr>
            </w:pPr>
            <w:r>
              <w:rPr>
                <w:rFonts w:hint="eastAsia"/>
                <w:color w:val="000000"/>
                <w:sz w:val="24"/>
                <w:szCs w:val="20"/>
              </w:rPr>
              <w:t>完成移交义务，移交日起24个月届满后5个工作日内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413"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金额</w:t>
            </w:r>
          </w:p>
        </w:tc>
        <w:tc>
          <w:tcPr>
            <w:tcW w:w="1548"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80万元</w:t>
            </w:r>
          </w:p>
        </w:tc>
        <w:tc>
          <w:tcPr>
            <w:tcW w:w="2119"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5</w:t>
            </w:r>
            <w:r>
              <w:rPr>
                <w:color w:val="000000"/>
                <w:sz w:val="24"/>
                <w:szCs w:val="20"/>
              </w:rPr>
              <w:t>000</w:t>
            </w:r>
            <w:r>
              <w:rPr>
                <w:rFonts w:hint="eastAsia"/>
                <w:color w:val="000000"/>
                <w:sz w:val="24"/>
                <w:szCs w:val="20"/>
              </w:rPr>
              <w:t>万元</w:t>
            </w:r>
          </w:p>
        </w:tc>
        <w:tc>
          <w:tcPr>
            <w:tcW w:w="1741"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5</w:t>
            </w:r>
            <w:r>
              <w:rPr>
                <w:color w:val="000000"/>
                <w:sz w:val="24"/>
                <w:szCs w:val="20"/>
              </w:rPr>
              <w:t>000</w:t>
            </w:r>
            <w:r>
              <w:rPr>
                <w:rFonts w:hint="eastAsia"/>
                <w:color w:val="000000"/>
                <w:sz w:val="24"/>
                <w:szCs w:val="20"/>
              </w:rPr>
              <w:t>万元</w:t>
            </w:r>
          </w:p>
        </w:tc>
        <w:tc>
          <w:tcPr>
            <w:tcW w:w="1501"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atLeast"/>
          <w:jc w:val="center"/>
        </w:trPr>
        <w:tc>
          <w:tcPr>
            <w:tcW w:w="1413"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担保事项</w:t>
            </w:r>
          </w:p>
        </w:tc>
        <w:tc>
          <w:tcPr>
            <w:tcW w:w="1548" w:type="dxa"/>
            <w:tcMar>
              <w:top w:w="0" w:type="dxa"/>
              <w:left w:w="0" w:type="dxa"/>
              <w:bottom w:w="0" w:type="dxa"/>
              <w:right w:w="0" w:type="dxa"/>
            </w:tcMar>
            <w:vAlign w:val="center"/>
          </w:tcPr>
          <w:p>
            <w:pPr>
              <w:tabs>
                <w:tab w:val="clear" w:pos="3261"/>
                <w:tab w:val="clear" w:pos="4536"/>
              </w:tabs>
              <w:ind w:firstLine="0" w:firstLineChars="0"/>
              <w:jc w:val="center"/>
              <w:rPr>
                <w:color w:val="000000"/>
                <w:sz w:val="24"/>
                <w:szCs w:val="20"/>
              </w:rPr>
            </w:pPr>
            <w:r>
              <w:rPr>
                <w:rFonts w:hint="eastAsia"/>
                <w:color w:val="000000"/>
                <w:sz w:val="24"/>
                <w:szCs w:val="20"/>
              </w:rPr>
              <w:t>投标文件承诺的履行、正式合同的签署</w:t>
            </w:r>
          </w:p>
          <w:p>
            <w:pPr>
              <w:tabs>
                <w:tab w:val="clear" w:pos="3261"/>
                <w:tab w:val="clear" w:pos="4536"/>
              </w:tabs>
              <w:ind w:firstLine="0" w:firstLineChars="0"/>
              <w:jc w:val="center"/>
              <w:rPr>
                <w:color w:val="000000"/>
                <w:sz w:val="24"/>
                <w:szCs w:val="20"/>
              </w:rPr>
            </w:pPr>
          </w:p>
        </w:tc>
        <w:tc>
          <w:tcPr>
            <w:tcW w:w="2119" w:type="dxa"/>
            <w:tcMar>
              <w:top w:w="0" w:type="dxa"/>
              <w:left w:w="0" w:type="dxa"/>
              <w:bottom w:w="0" w:type="dxa"/>
              <w:right w:w="0" w:type="dxa"/>
            </w:tcMar>
            <w:vAlign w:val="center"/>
          </w:tcPr>
          <w:p>
            <w:pPr>
              <w:tabs>
                <w:tab w:val="clear" w:pos="3261"/>
                <w:tab w:val="clear" w:pos="4536"/>
              </w:tabs>
              <w:ind w:firstLine="0" w:firstLineChars="0"/>
              <w:rPr>
                <w:color w:val="000000"/>
                <w:sz w:val="24"/>
                <w:szCs w:val="20"/>
              </w:rPr>
            </w:pPr>
            <w:r>
              <w:rPr>
                <w:rFonts w:hint="eastAsia"/>
                <w:color w:val="000000"/>
                <w:sz w:val="24"/>
                <w:szCs w:val="20"/>
              </w:rPr>
              <w:t>项目建设资金到位、开工节点、竣工验收、安全施工及工程进度管理、节点目标落实等</w:t>
            </w:r>
          </w:p>
        </w:tc>
        <w:tc>
          <w:tcPr>
            <w:tcW w:w="1741" w:type="dxa"/>
            <w:tcMar>
              <w:top w:w="0" w:type="dxa"/>
              <w:left w:w="0" w:type="dxa"/>
              <w:bottom w:w="0" w:type="dxa"/>
              <w:right w:w="0" w:type="dxa"/>
            </w:tcMar>
            <w:vAlign w:val="center"/>
          </w:tcPr>
          <w:p>
            <w:pPr>
              <w:tabs>
                <w:tab w:val="clear" w:pos="3261"/>
                <w:tab w:val="clear" w:pos="4536"/>
              </w:tabs>
              <w:ind w:firstLine="0" w:firstLineChars="0"/>
              <w:rPr>
                <w:color w:val="000000"/>
                <w:sz w:val="24"/>
                <w:szCs w:val="20"/>
              </w:rPr>
            </w:pPr>
            <w:r>
              <w:rPr>
                <w:rFonts w:hint="eastAsia"/>
                <w:color w:val="000000"/>
                <w:sz w:val="24"/>
                <w:szCs w:val="20"/>
              </w:rPr>
              <w:t>项目运营维护、林木管理及配套设施检修维护等</w:t>
            </w:r>
          </w:p>
        </w:tc>
        <w:tc>
          <w:tcPr>
            <w:tcW w:w="1501" w:type="dxa"/>
            <w:tcMar>
              <w:top w:w="0" w:type="dxa"/>
              <w:left w:w="0" w:type="dxa"/>
              <w:bottom w:w="0" w:type="dxa"/>
              <w:right w:w="0" w:type="dxa"/>
            </w:tcMar>
            <w:vAlign w:val="center"/>
          </w:tcPr>
          <w:p>
            <w:pPr>
              <w:tabs>
                <w:tab w:val="clear" w:pos="3261"/>
                <w:tab w:val="clear" w:pos="4536"/>
              </w:tabs>
              <w:ind w:firstLine="0" w:firstLineChars="0"/>
              <w:rPr>
                <w:color w:val="000000"/>
                <w:sz w:val="24"/>
                <w:szCs w:val="20"/>
              </w:rPr>
            </w:pPr>
            <w:r>
              <w:rPr>
                <w:rFonts w:hint="eastAsia"/>
                <w:color w:val="000000"/>
                <w:sz w:val="24"/>
                <w:szCs w:val="20"/>
              </w:rPr>
              <w:t>项目恢复性大修、项目设施隐蔽性缺陷的修整恢复等</w:t>
            </w:r>
          </w:p>
        </w:tc>
      </w:tr>
    </w:tbl>
    <w:p>
      <w:pPr>
        <w:pStyle w:val="3"/>
        <w:ind w:firstLine="562"/>
        <w:rPr>
          <w:color w:val="000000" w:themeColor="text1"/>
          <w14:textFill>
            <w14:solidFill>
              <w14:schemeClr w14:val="tx1"/>
            </w14:solidFill>
          </w14:textFill>
        </w:rPr>
      </w:pPr>
      <w:bookmarkStart w:id="29" w:name="_Toc3974730"/>
      <w:bookmarkStart w:id="30" w:name="_Hlk506222704"/>
      <w:r>
        <w:rPr>
          <w:rFonts w:hint="eastAsia"/>
          <w:color w:val="000000" w:themeColor="text1"/>
          <w14:textFill>
            <w14:solidFill>
              <w14:schemeClr w14:val="tx1"/>
            </w14:solidFill>
          </w14:textFill>
        </w:rPr>
        <w:t>13、报价指标</w:t>
      </w:r>
      <w:bookmarkEnd w:id="29"/>
    </w:p>
    <w:bookmarkEnd w:id="30"/>
    <w:p>
      <w:pPr>
        <w:tabs>
          <w:tab w:val="clear" w:pos="3261"/>
          <w:tab w:val="clear" w:pos="4536"/>
        </w:tabs>
        <w:spacing w:line="360" w:lineRule="auto"/>
        <w:ind w:firstLine="560" w:firstLineChars="200"/>
        <w:rPr>
          <w:color w:val="000000"/>
        </w:rPr>
      </w:pPr>
      <w:r>
        <w:rPr>
          <w:rFonts w:hint="eastAsia"/>
          <w:color w:val="000000"/>
        </w:rPr>
        <w:t>因本项目收益指标较多，各指标之间的权重大小设置可能出现不平衡报价，所以项目报价评分指标为可行性缺口补助上限即</w:t>
      </w:r>
      <w:r>
        <w:rPr>
          <w:color w:val="000000"/>
        </w:rPr>
        <w:t>482062.50万元</w:t>
      </w:r>
      <w:r>
        <w:rPr>
          <w:rFonts w:hint="eastAsia"/>
          <w:color w:val="000000"/>
        </w:rPr>
        <w:t>，</w:t>
      </w:r>
      <w:r>
        <w:rPr>
          <w:color w:val="000000"/>
        </w:rPr>
        <w:t>此</w:t>
      </w:r>
      <w:r>
        <w:rPr>
          <w:rFonts w:hint="eastAsia"/>
          <w:color w:val="000000"/>
        </w:rPr>
        <w:t>指标仅用于计算报价得分，不作为政府支付可行性缺口补助依据。报价需详细列明计算可行性缺口补助总额的下列边界条件，此边界条件作为后续政府计算可行性缺口补助的依据。</w:t>
      </w:r>
    </w:p>
    <w:p>
      <w:pPr>
        <w:tabs>
          <w:tab w:val="clear" w:pos="3261"/>
          <w:tab w:val="clear" w:pos="4536"/>
        </w:tabs>
        <w:adjustRightInd w:val="0"/>
        <w:snapToGrid w:val="0"/>
        <w:spacing w:line="360" w:lineRule="auto"/>
        <w:ind w:firstLine="560" w:firstLineChars="200"/>
        <w:rPr>
          <w:color w:val="000000"/>
          <w:kern w:val="0"/>
        </w:rPr>
      </w:pPr>
      <w:r>
        <w:rPr>
          <w:rFonts w:hint="eastAsia"/>
          <w:color w:val="000000"/>
          <w:kern w:val="0"/>
        </w:rPr>
        <w:t>（1）项目合理利润率</w:t>
      </w:r>
    </w:p>
    <w:p>
      <w:pPr>
        <w:tabs>
          <w:tab w:val="clear" w:pos="3261"/>
          <w:tab w:val="clear" w:pos="4536"/>
        </w:tabs>
        <w:adjustRightInd w:val="0"/>
        <w:snapToGrid w:val="0"/>
        <w:spacing w:line="360" w:lineRule="auto"/>
        <w:ind w:firstLine="560" w:firstLineChars="200"/>
        <w:rPr>
          <w:color w:val="000000"/>
          <w:kern w:val="0"/>
        </w:rPr>
      </w:pPr>
      <w:r>
        <w:rPr>
          <w:rFonts w:hint="eastAsia"/>
          <w:color w:val="000000"/>
          <w:kern w:val="0"/>
        </w:rPr>
        <w:t>项目的合理利润率（上限）6.80%；</w:t>
      </w:r>
    </w:p>
    <w:p>
      <w:pPr>
        <w:tabs>
          <w:tab w:val="clear" w:pos="3261"/>
          <w:tab w:val="clear" w:pos="4536"/>
        </w:tabs>
        <w:adjustRightInd w:val="0"/>
        <w:snapToGrid w:val="0"/>
        <w:spacing w:line="360" w:lineRule="auto"/>
        <w:ind w:firstLine="560" w:firstLineChars="200"/>
        <w:rPr>
          <w:color w:val="000000"/>
          <w:kern w:val="0"/>
        </w:rPr>
      </w:pPr>
      <w:r>
        <w:rPr>
          <w:rFonts w:hint="eastAsia"/>
          <w:color w:val="000000"/>
          <w:kern w:val="0"/>
        </w:rPr>
        <w:t>（2）项目年度折现率</w:t>
      </w:r>
    </w:p>
    <w:p>
      <w:pPr>
        <w:tabs>
          <w:tab w:val="clear" w:pos="3261"/>
          <w:tab w:val="clear" w:pos="4536"/>
        </w:tabs>
        <w:adjustRightInd w:val="0"/>
        <w:snapToGrid w:val="0"/>
        <w:spacing w:line="360" w:lineRule="auto"/>
        <w:ind w:firstLine="560" w:firstLineChars="200"/>
        <w:rPr>
          <w:color w:val="000000"/>
          <w:kern w:val="0"/>
        </w:rPr>
      </w:pPr>
      <w:r>
        <w:rPr>
          <w:rFonts w:hint="eastAsia"/>
          <w:color w:val="000000"/>
          <w:kern w:val="0"/>
        </w:rPr>
        <w:t>项目年度折现率（上限）</w:t>
      </w:r>
      <w:r>
        <w:rPr>
          <w:color w:val="000000"/>
          <w:kern w:val="0"/>
        </w:rPr>
        <w:t>4.9</w:t>
      </w:r>
      <w:r>
        <w:rPr>
          <w:rFonts w:hint="eastAsia"/>
          <w:color w:val="000000"/>
          <w:kern w:val="0"/>
        </w:rPr>
        <w:t>0%；</w:t>
      </w:r>
    </w:p>
    <w:p>
      <w:pPr>
        <w:tabs>
          <w:tab w:val="clear" w:pos="3261"/>
          <w:tab w:val="clear" w:pos="4536"/>
        </w:tabs>
        <w:adjustRightInd w:val="0"/>
        <w:snapToGrid w:val="0"/>
        <w:spacing w:line="360" w:lineRule="auto"/>
        <w:ind w:firstLine="560" w:firstLineChars="200"/>
        <w:rPr>
          <w:color w:val="000000"/>
          <w:kern w:val="0"/>
        </w:rPr>
      </w:pPr>
      <w:r>
        <w:rPr>
          <w:rFonts w:hint="eastAsia"/>
          <w:color w:val="000000"/>
          <w:kern w:val="0"/>
        </w:rPr>
        <w:t>（3）建安成本以最终经财政评审确定的竣工审计竣工决算为基数，下浮标准最终由社会资本方报价确定，下浮（下限）1%；</w:t>
      </w:r>
    </w:p>
    <w:p>
      <w:pPr>
        <w:tabs>
          <w:tab w:val="clear" w:pos="3261"/>
          <w:tab w:val="clear" w:pos="4536"/>
        </w:tabs>
        <w:adjustRightInd w:val="0"/>
        <w:snapToGrid w:val="0"/>
        <w:spacing w:line="360" w:lineRule="auto"/>
        <w:ind w:firstLine="560" w:firstLineChars="200"/>
        <w:rPr>
          <w:color w:val="000000"/>
          <w:kern w:val="0"/>
        </w:rPr>
      </w:pPr>
      <w:r>
        <w:rPr>
          <w:rFonts w:hint="eastAsia"/>
          <w:color w:val="000000"/>
          <w:kern w:val="0"/>
        </w:rPr>
        <w:t>（4）项目运营期第一年年均基准运营成本，上限</w:t>
      </w:r>
      <w:r>
        <w:rPr>
          <w:color w:val="000000"/>
          <w:kern w:val="0"/>
        </w:rPr>
        <w:t>419.87元/亩（不含土地流转费）</w:t>
      </w:r>
      <w:r>
        <w:rPr>
          <w:rFonts w:hint="eastAsia"/>
          <w:color w:val="000000"/>
          <w:kern w:val="0"/>
        </w:rPr>
        <w:t>，报价需要详细列明运营成本的构成要素及每亩单价。</w:t>
      </w:r>
    </w:p>
    <w:p>
      <w:pPr>
        <w:tabs>
          <w:tab w:val="clear" w:pos="3261"/>
          <w:tab w:val="clear" w:pos="4536"/>
        </w:tabs>
        <w:adjustRightInd w:val="0"/>
        <w:snapToGrid w:val="0"/>
        <w:spacing w:line="360" w:lineRule="auto"/>
        <w:ind w:firstLine="560" w:firstLineChars="200"/>
        <w:rPr>
          <w:color w:val="000000"/>
          <w:kern w:val="0"/>
        </w:rPr>
      </w:pPr>
      <w:r>
        <w:rPr>
          <w:rFonts w:hint="eastAsia"/>
          <w:color w:val="000000"/>
          <w:kern w:val="0"/>
        </w:rPr>
        <w:t>（5）</w:t>
      </w:r>
      <w:r>
        <w:rPr>
          <w:color w:val="000000"/>
          <w:kern w:val="0"/>
        </w:rPr>
        <w:t>项目合作期内使用者付费目总额下限：</w:t>
      </w:r>
      <w:r>
        <w:rPr>
          <w:rFonts w:hint="eastAsia"/>
          <w:color w:val="000000"/>
          <w:kern w:val="0"/>
        </w:rPr>
        <w:t>221283.09</w:t>
      </w:r>
      <w:r>
        <w:rPr>
          <w:color w:val="000000"/>
          <w:kern w:val="0"/>
        </w:rPr>
        <w:t>万元（需</w:t>
      </w:r>
      <w:r>
        <w:rPr>
          <w:rFonts w:hint="eastAsia"/>
          <w:color w:val="000000"/>
          <w:kern w:val="0"/>
        </w:rPr>
        <w:t>同时提供各年使用者付目标值明细）。</w:t>
      </w:r>
    </w:p>
    <w:p>
      <w:pPr>
        <w:tabs>
          <w:tab w:val="clear" w:pos="3261"/>
          <w:tab w:val="clear" w:pos="4536"/>
        </w:tabs>
        <w:adjustRightInd w:val="0"/>
        <w:snapToGrid w:val="0"/>
        <w:spacing w:line="360" w:lineRule="auto"/>
        <w:ind w:firstLine="560" w:firstLineChars="200"/>
        <w:jc w:val="center"/>
        <w:rPr>
          <w:color w:val="000000"/>
          <w:kern w:val="0"/>
        </w:rPr>
      </w:pPr>
      <w:r>
        <w:rPr>
          <w:rFonts w:hint="eastAsia"/>
          <w:color w:val="000000"/>
          <w:kern w:val="0"/>
        </w:rPr>
        <w:t>表3.14 项目运营期各年度使用者付费目标值下限(万元)</w:t>
      </w:r>
    </w:p>
    <w:tbl>
      <w:tblPr>
        <w:tblStyle w:val="25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年份</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第1年</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第2年</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第3年</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第4年</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使用者付费</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年份</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第6年</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第7年</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第8年</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第9年</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使用者付费</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7833.14</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36875.35</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43205.12</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34701.14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年份</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第11年</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第12年</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第13年</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第14年</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使用者付费</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24927.58</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2793.77</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2712.29</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2708.34</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2703.52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年份</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第16年</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第17年</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第18年</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第19年</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使用者付费</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2696.73</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2909.39</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5150.68</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7836.10</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2742.05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年份</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第21年</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第22年</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第23年</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第24年</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第25年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rFonts w:hint="eastAsia"/>
                <w:color w:val="000000"/>
                <w:kern w:val="0"/>
                <w:sz w:val="24"/>
                <w:szCs w:val="24"/>
              </w:rPr>
              <w:t>使用者付费</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2945.04</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4692.09</w:t>
            </w:r>
          </w:p>
        </w:tc>
        <w:tc>
          <w:tcPr>
            <w:tcW w:w="1421"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4029.51</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2728.86</w:t>
            </w:r>
          </w:p>
        </w:tc>
        <w:tc>
          <w:tcPr>
            <w:tcW w:w="1422" w:type="dxa"/>
          </w:tcPr>
          <w:p>
            <w:pPr>
              <w:tabs>
                <w:tab w:val="clear" w:pos="3261"/>
                <w:tab w:val="clear" w:pos="4536"/>
              </w:tabs>
              <w:adjustRightInd w:val="0"/>
              <w:snapToGrid w:val="0"/>
              <w:spacing w:line="360" w:lineRule="auto"/>
              <w:ind w:firstLine="0" w:firstLineChars="0"/>
              <w:rPr>
                <w:color w:val="000000"/>
                <w:kern w:val="0"/>
                <w:sz w:val="24"/>
                <w:szCs w:val="24"/>
              </w:rPr>
            </w:pPr>
            <w:r>
              <w:rPr>
                <w:color w:val="000000"/>
                <w:kern w:val="0"/>
                <w:sz w:val="24"/>
                <w:szCs w:val="24"/>
              </w:rPr>
              <w:t>27092.39</w:t>
            </w:r>
          </w:p>
        </w:tc>
      </w:tr>
      <w:bookmarkEnd w:id="1"/>
      <w:bookmarkEnd w:id="2"/>
      <w:bookmarkEnd w:id="3"/>
      <w:bookmarkEnd w:id="9"/>
      <w:bookmarkEnd w:id="10"/>
      <w:bookmarkEnd w:id="11"/>
    </w:tbl>
    <w:p>
      <w:pPr>
        <w:rPr>
          <w:color w:val="000000" w:themeColor="text1"/>
          <w14:textFill>
            <w14:solidFill>
              <w14:schemeClr w14:val="tx1"/>
            </w14:solidFill>
          </w14:textFill>
        </w:rPr>
      </w:pPr>
    </w:p>
    <w:p>
      <w:pPr>
        <w:sectPr>
          <w:pgSz w:w="11906" w:h="16838"/>
          <w:pgMar w:top="1440" w:right="1797" w:bottom="1440" w:left="1797" w:header="1021" w:footer="851" w:gutter="0"/>
          <w:cols w:space="425" w:num="1"/>
          <w:docGrid w:type="lines" w:linePitch="312" w:charSpace="0"/>
        </w:sectPr>
      </w:pPr>
    </w:p>
    <w:p>
      <w:pPr>
        <w:pStyle w:val="2"/>
        <w:rPr>
          <w:color w:val="000000" w:themeColor="text1"/>
          <w14:textFill>
            <w14:solidFill>
              <w14:schemeClr w14:val="tx1"/>
            </w14:solidFill>
          </w14:textFill>
        </w:rPr>
      </w:pPr>
      <w:bookmarkStart w:id="31" w:name="_Toc3974731"/>
      <w:r>
        <w:rPr>
          <w:rFonts w:hint="eastAsia"/>
          <w:color w:val="000000" w:themeColor="text1"/>
          <w14:textFill>
            <w14:solidFill>
              <w14:schemeClr w14:val="tx1"/>
            </w14:solidFill>
          </w14:textFill>
        </w:rPr>
        <w:t>四、测试反馈意见表</w:t>
      </w:r>
      <w:bookmarkEnd w:id="31"/>
    </w:p>
    <w:p>
      <w:pPr>
        <w:tabs>
          <w:tab w:val="clear" w:pos="3261"/>
          <w:tab w:val="clear" w:pos="4536"/>
        </w:tabs>
        <w:spacing w:line="500" w:lineRule="exact"/>
        <w:ind w:firstLine="200" w:firstLineChars="71"/>
        <w:jc w:val="center"/>
        <w:rPr>
          <w:b/>
        </w:rPr>
      </w:pPr>
      <w:r>
        <w:rPr>
          <w:rFonts w:hint="eastAsia"/>
          <w:b/>
        </w:rPr>
        <w:t>河南省平顶山市市本级国家储备林基地建设PPP项目</w:t>
      </w:r>
    </w:p>
    <w:p>
      <w:pPr>
        <w:tabs>
          <w:tab w:val="clear" w:pos="3261"/>
          <w:tab w:val="clear" w:pos="4536"/>
        </w:tabs>
        <w:spacing w:line="500" w:lineRule="exact"/>
        <w:ind w:firstLine="200" w:firstLineChars="71"/>
        <w:jc w:val="center"/>
        <w:rPr>
          <w:b/>
        </w:rPr>
      </w:pPr>
      <w:r>
        <w:rPr>
          <w:rFonts w:hint="eastAsia"/>
          <w:b/>
        </w:rPr>
        <w:t>社会资本方基本信息和反馈意见表</w:t>
      </w:r>
    </w:p>
    <w:p>
      <w:pPr>
        <w:tabs>
          <w:tab w:val="clear" w:pos="3261"/>
          <w:tab w:val="clear" w:pos="4536"/>
        </w:tabs>
        <w:spacing w:line="500" w:lineRule="exact"/>
        <w:ind w:firstLine="562" w:firstLineChars="200"/>
        <w:rPr>
          <w:b/>
        </w:rPr>
      </w:pPr>
      <w:r>
        <w:rPr>
          <w:rFonts w:hint="eastAsia"/>
          <w:b/>
        </w:rPr>
        <w:t>一、企业基本情况</w:t>
      </w:r>
    </w:p>
    <w:p>
      <w:pPr>
        <w:tabs>
          <w:tab w:val="clear" w:pos="3261"/>
          <w:tab w:val="clear" w:pos="4536"/>
        </w:tabs>
        <w:spacing w:line="500" w:lineRule="exact"/>
        <w:ind w:firstLine="480" w:firstLineChars="200"/>
        <w:rPr>
          <w:sz w:val="24"/>
          <w:szCs w:val="24"/>
        </w:rPr>
      </w:pPr>
      <w:r>
        <w:rPr>
          <w:sz w:val="24"/>
          <w:szCs w:val="24"/>
        </w:rPr>
        <w:t>1、</w:t>
      </w:r>
      <w:r>
        <w:rPr>
          <w:rFonts w:hint="eastAsia"/>
          <w:sz w:val="24"/>
          <w:szCs w:val="24"/>
        </w:rPr>
        <w:t>公司名称：</w:t>
      </w:r>
      <w:r>
        <w:rPr>
          <w:rFonts w:hint="eastAsia"/>
          <w:sz w:val="24"/>
          <w:szCs w:val="24"/>
          <w:u w:val="single"/>
        </w:rPr>
        <w:t xml:space="preserve">        </w:t>
      </w:r>
      <w:r>
        <w:rPr>
          <w:sz w:val="24"/>
          <w:szCs w:val="24"/>
          <w:u w:val="single"/>
        </w:rPr>
        <w:t xml:space="preserve"> </w:t>
      </w:r>
      <w:r>
        <w:rPr>
          <w:rFonts w:hint="eastAsia"/>
          <w:sz w:val="24"/>
          <w:szCs w:val="24"/>
          <w:u w:val="single"/>
        </w:rPr>
        <w:t xml:space="preserve">                                       （盖公司章）</w:t>
      </w:r>
    </w:p>
    <w:p>
      <w:pPr>
        <w:tabs>
          <w:tab w:val="clear" w:pos="3261"/>
          <w:tab w:val="clear" w:pos="4536"/>
        </w:tabs>
        <w:spacing w:line="500" w:lineRule="exact"/>
        <w:ind w:firstLine="480" w:firstLineChars="200"/>
        <w:rPr>
          <w:sz w:val="24"/>
          <w:szCs w:val="24"/>
        </w:rPr>
      </w:pPr>
      <w:r>
        <w:rPr>
          <w:rFonts w:hint="eastAsia"/>
          <w:sz w:val="24"/>
          <w:szCs w:val="24"/>
        </w:rPr>
        <w:t>2、企业注册资本：</w:t>
      </w:r>
      <w:r>
        <w:rPr>
          <w:rFonts w:hint="eastAsia"/>
          <w:sz w:val="24"/>
          <w:szCs w:val="24"/>
          <w:u w:val="single"/>
        </w:rPr>
        <w:t xml:space="preserve">      </w:t>
      </w:r>
      <w:r>
        <w:rPr>
          <w:rFonts w:hint="eastAsia"/>
          <w:sz w:val="24"/>
          <w:szCs w:val="24"/>
        </w:rPr>
        <w:t>万元，年利润：</w:t>
      </w:r>
      <w:r>
        <w:rPr>
          <w:rFonts w:hint="eastAsia"/>
          <w:sz w:val="24"/>
          <w:szCs w:val="24"/>
          <w:u w:val="single"/>
        </w:rPr>
        <w:t xml:space="preserve">     万元</w:t>
      </w:r>
      <w:r>
        <w:rPr>
          <w:rFonts w:hint="eastAsia"/>
          <w:sz w:val="24"/>
          <w:szCs w:val="24"/>
        </w:rPr>
        <w:t>，企业可提供的项目自有资金：</w:t>
      </w:r>
      <w:r>
        <w:rPr>
          <w:rFonts w:hint="eastAsia"/>
          <w:sz w:val="24"/>
          <w:szCs w:val="24"/>
          <w:u w:val="single"/>
        </w:rPr>
        <w:t xml:space="preserve">     </w:t>
      </w:r>
      <w:r>
        <w:rPr>
          <w:rFonts w:hint="eastAsia"/>
          <w:sz w:val="24"/>
          <w:szCs w:val="24"/>
        </w:rPr>
        <w:t>万元。</w:t>
      </w:r>
    </w:p>
    <w:p>
      <w:pPr>
        <w:tabs>
          <w:tab w:val="clear" w:pos="3261"/>
          <w:tab w:val="clear" w:pos="4536"/>
        </w:tabs>
        <w:spacing w:line="500" w:lineRule="exact"/>
        <w:ind w:firstLine="480" w:firstLineChars="200"/>
        <w:rPr>
          <w:sz w:val="24"/>
          <w:szCs w:val="24"/>
        </w:rPr>
      </w:pPr>
      <w:r>
        <w:rPr>
          <w:rFonts w:hint="eastAsia"/>
          <w:sz w:val="24"/>
          <w:szCs w:val="24"/>
        </w:rPr>
        <w:t>3、企业主营业务：</w:t>
      </w:r>
      <w:r>
        <w:rPr>
          <w:rFonts w:hint="eastAsia"/>
          <w:sz w:val="24"/>
          <w:szCs w:val="24"/>
          <w:u w:val="single"/>
        </w:rPr>
        <w:t xml:space="preserve">                                     ；</w:t>
      </w:r>
    </w:p>
    <w:p>
      <w:pPr>
        <w:tabs>
          <w:tab w:val="clear" w:pos="3261"/>
          <w:tab w:val="clear" w:pos="4536"/>
        </w:tabs>
        <w:spacing w:line="500" w:lineRule="exact"/>
        <w:ind w:firstLine="720" w:firstLineChars="300"/>
        <w:rPr>
          <w:sz w:val="24"/>
          <w:szCs w:val="24"/>
          <w:u w:val="single"/>
        </w:rPr>
      </w:pPr>
      <w:r>
        <w:rPr>
          <w:rFonts w:hint="eastAsia"/>
          <w:sz w:val="24"/>
          <w:szCs w:val="24"/>
        </w:rPr>
        <w:t>主营业务收入：</w:t>
      </w:r>
      <w:r>
        <w:rPr>
          <w:rFonts w:hint="eastAsia"/>
          <w:sz w:val="24"/>
          <w:szCs w:val="24"/>
          <w:u w:val="single"/>
        </w:rPr>
        <w:t xml:space="preserve">                            。</w:t>
      </w:r>
    </w:p>
    <w:p>
      <w:pPr>
        <w:tabs>
          <w:tab w:val="clear" w:pos="3261"/>
          <w:tab w:val="clear" w:pos="4536"/>
        </w:tabs>
        <w:spacing w:line="500" w:lineRule="exact"/>
        <w:ind w:firstLine="480" w:firstLineChars="200"/>
        <w:rPr>
          <w:sz w:val="24"/>
          <w:szCs w:val="24"/>
        </w:rPr>
      </w:pPr>
      <w:r>
        <w:rPr>
          <w:rFonts w:hint="eastAsia"/>
          <w:sz w:val="24"/>
          <w:szCs w:val="24"/>
        </w:rPr>
        <w:t>4、企业类型：□国有企业    □外资（含港澳台）   □民营或股份制（请打“</w:t>
      </w:r>
      <w:r>
        <w:rPr>
          <w:sz w:val="24"/>
          <w:szCs w:val="24"/>
        </w:rPr>
        <w:t>√</w:t>
      </w:r>
      <w:r>
        <w:rPr>
          <w:rFonts w:hint="eastAsia"/>
          <w:sz w:val="24"/>
          <w:szCs w:val="24"/>
        </w:rPr>
        <w:t>”）</w:t>
      </w:r>
    </w:p>
    <w:p>
      <w:pPr>
        <w:tabs>
          <w:tab w:val="clear" w:pos="3261"/>
          <w:tab w:val="clear" w:pos="4536"/>
        </w:tabs>
        <w:spacing w:line="500" w:lineRule="exact"/>
        <w:ind w:firstLine="480" w:firstLineChars="200"/>
        <w:rPr>
          <w:sz w:val="24"/>
          <w:szCs w:val="24"/>
        </w:rPr>
      </w:pPr>
      <w:r>
        <w:rPr>
          <w:rFonts w:hint="eastAsia"/>
          <w:sz w:val="24"/>
          <w:szCs w:val="24"/>
        </w:rPr>
        <w:t>5、企业资质：</w:t>
      </w:r>
      <w:r>
        <w:rPr>
          <w:rFonts w:hint="eastAsia"/>
          <w:sz w:val="24"/>
          <w:szCs w:val="24"/>
          <w:u w:val="single"/>
        </w:rPr>
        <w:t xml:space="preserve">                            </w:t>
      </w:r>
      <w:r>
        <w:rPr>
          <w:rFonts w:hint="eastAsia"/>
          <w:sz w:val="24"/>
          <w:szCs w:val="24"/>
        </w:rPr>
        <w:t>。</w:t>
      </w:r>
    </w:p>
    <w:p>
      <w:pPr>
        <w:tabs>
          <w:tab w:val="clear" w:pos="3261"/>
          <w:tab w:val="clear" w:pos="4536"/>
        </w:tabs>
        <w:spacing w:line="500" w:lineRule="exact"/>
        <w:ind w:firstLine="480" w:firstLineChars="200"/>
        <w:rPr>
          <w:sz w:val="24"/>
          <w:szCs w:val="24"/>
        </w:rPr>
      </w:pPr>
      <w:r>
        <w:rPr>
          <w:rFonts w:hint="eastAsia"/>
          <w:sz w:val="24"/>
          <w:szCs w:val="24"/>
        </w:rPr>
        <w:t>6、企业近三年总资产：     万元；</w:t>
      </w:r>
    </w:p>
    <w:p>
      <w:pPr>
        <w:tabs>
          <w:tab w:val="clear" w:pos="3261"/>
          <w:tab w:val="clear" w:pos="4536"/>
        </w:tabs>
        <w:spacing w:line="500" w:lineRule="exact"/>
        <w:ind w:firstLine="840" w:firstLineChars="350"/>
        <w:rPr>
          <w:sz w:val="24"/>
          <w:szCs w:val="24"/>
        </w:rPr>
      </w:pPr>
      <w:r>
        <w:rPr>
          <w:rFonts w:hint="eastAsia"/>
          <w:sz w:val="24"/>
          <w:szCs w:val="24"/>
        </w:rPr>
        <w:t>企业近三年净资产：     万元；</w:t>
      </w:r>
    </w:p>
    <w:p>
      <w:pPr>
        <w:tabs>
          <w:tab w:val="clear" w:pos="3261"/>
          <w:tab w:val="clear" w:pos="4536"/>
        </w:tabs>
        <w:spacing w:line="500" w:lineRule="exact"/>
        <w:ind w:firstLine="840" w:firstLineChars="350"/>
        <w:rPr>
          <w:sz w:val="24"/>
          <w:szCs w:val="24"/>
        </w:rPr>
      </w:pPr>
      <w:r>
        <w:rPr>
          <w:rFonts w:hint="eastAsia"/>
          <w:sz w:val="24"/>
          <w:szCs w:val="24"/>
        </w:rPr>
        <w:t>企业近三年净利润：     万元；</w:t>
      </w:r>
    </w:p>
    <w:p>
      <w:pPr>
        <w:tabs>
          <w:tab w:val="clear" w:pos="3261"/>
          <w:tab w:val="clear" w:pos="4536"/>
        </w:tabs>
        <w:spacing w:line="500" w:lineRule="exact"/>
        <w:ind w:firstLine="840" w:firstLineChars="350"/>
        <w:rPr>
          <w:sz w:val="24"/>
          <w:szCs w:val="24"/>
        </w:rPr>
      </w:pPr>
      <w:r>
        <w:rPr>
          <w:rFonts w:hint="eastAsia"/>
          <w:sz w:val="24"/>
          <w:szCs w:val="24"/>
        </w:rPr>
        <w:t>企业近三年资产负债率：     %。</w:t>
      </w:r>
    </w:p>
    <w:p>
      <w:pPr>
        <w:tabs>
          <w:tab w:val="clear" w:pos="3261"/>
          <w:tab w:val="clear" w:pos="4536"/>
        </w:tabs>
        <w:spacing w:line="500" w:lineRule="exact"/>
        <w:ind w:firstLine="480" w:firstLineChars="200"/>
        <w:rPr>
          <w:sz w:val="24"/>
          <w:szCs w:val="24"/>
        </w:rPr>
      </w:pPr>
      <w:r>
        <w:rPr>
          <w:rFonts w:hint="eastAsia"/>
          <w:sz w:val="24"/>
          <w:szCs w:val="24"/>
        </w:rPr>
        <w:t>7、银行可出具的保函金额可达</w:t>
      </w:r>
      <w:r>
        <w:rPr>
          <w:rFonts w:hint="eastAsia"/>
          <w:sz w:val="24"/>
          <w:szCs w:val="24"/>
          <w:u w:val="single"/>
        </w:rPr>
        <w:t xml:space="preserve">       </w:t>
      </w:r>
      <w:r>
        <w:rPr>
          <w:rFonts w:hint="eastAsia"/>
          <w:sz w:val="24"/>
          <w:szCs w:val="24"/>
        </w:rPr>
        <w:t>万元；银行的授信额度可达</w:t>
      </w:r>
      <w:r>
        <w:rPr>
          <w:rFonts w:hint="eastAsia"/>
          <w:sz w:val="24"/>
          <w:szCs w:val="24"/>
          <w:u w:val="single"/>
        </w:rPr>
        <w:t xml:space="preserve">      </w:t>
      </w:r>
      <w:r>
        <w:rPr>
          <w:rFonts w:hint="eastAsia"/>
          <w:sz w:val="24"/>
          <w:szCs w:val="24"/>
        </w:rPr>
        <w:t>万元。</w:t>
      </w:r>
    </w:p>
    <w:p>
      <w:pPr>
        <w:tabs>
          <w:tab w:val="clear" w:pos="3261"/>
          <w:tab w:val="clear" w:pos="4536"/>
        </w:tabs>
        <w:spacing w:line="500" w:lineRule="exact"/>
        <w:ind w:firstLine="480" w:firstLineChars="200"/>
        <w:rPr>
          <w:sz w:val="24"/>
          <w:szCs w:val="24"/>
          <w:u w:val="single"/>
        </w:rPr>
      </w:pPr>
      <w:r>
        <w:rPr>
          <w:rFonts w:hint="eastAsia"/>
          <w:sz w:val="24"/>
          <w:szCs w:val="24"/>
        </w:rPr>
        <w:t>8、企业融资渠道包括：</w:t>
      </w:r>
      <w:r>
        <w:rPr>
          <w:rFonts w:hint="eastAsia"/>
          <w:sz w:val="24"/>
          <w:szCs w:val="24"/>
          <w:u w:val="single"/>
        </w:rPr>
        <w:t xml:space="preserve">             </w:t>
      </w:r>
      <w:r>
        <w:rPr>
          <w:rFonts w:hint="eastAsia"/>
          <w:sz w:val="24"/>
          <w:szCs w:val="24"/>
        </w:rPr>
        <w:t>；融资成本为</w:t>
      </w:r>
      <w:r>
        <w:rPr>
          <w:rFonts w:hint="eastAsia"/>
          <w:sz w:val="24"/>
          <w:szCs w:val="24"/>
          <w:u w:val="single"/>
        </w:rPr>
        <w:t xml:space="preserve">      </w:t>
      </w:r>
      <w:r>
        <w:rPr>
          <w:rFonts w:hint="eastAsia"/>
          <w:sz w:val="24"/>
          <w:szCs w:val="24"/>
        </w:rPr>
        <w:t>；企业可出具的自有资金为</w:t>
      </w:r>
      <w:r>
        <w:rPr>
          <w:rFonts w:hint="eastAsia"/>
          <w:sz w:val="24"/>
          <w:szCs w:val="24"/>
          <w:u w:val="single"/>
        </w:rPr>
        <w:t xml:space="preserve">     </w:t>
      </w:r>
      <w:r>
        <w:rPr>
          <w:rFonts w:hint="eastAsia"/>
          <w:sz w:val="24"/>
          <w:szCs w:val="24"/>
        </w:rPr>
        <w:t>万元；企业的资信证明。</w:t>
      </w:r>
    </w:p>
    <w:p>
      <w:pPr>
        <w:tabs>
          <w:tab w:val="clear" w:pos="3261"/>
          <w:tab w:val="clear" w:pos="4536"/>
        </w:tabs>
        <w:spacing w:line="360" w:lineRule="auto"/>
        <w:ind w:firstLine="480" w:firstLineChars="200"/>
        <w:rPr>
          <w:sz w:val="24"/>
          <w:szCs w:val="24"/>
        </w:rPr>
      </w:pPr>
      <w:r>
        <w:rPr>
          <w:rFonts w:hint="eastAsia"/>
          <w:sz w:val="24"/>
          <w:szCs w:val="24"/>
        </w:rPr>
        <w:t>9、根据财政部《政府和社会资本合作项目财政承受能力论证指引》（财金[2015]21号）的规定，企业期望的合理利润率</w:t>
      </w:r>
      <w:r>
        <w:rPr>
          <w:rFonts w:hint="eastAsia"/>
          <w:sz w:val="24"/>
          <w:szCs w:val="24"/>
          <w:u w:val="single"/>
        </w:rPr>
        <w:t xml:space="preserve">   </w:t>
      </w:r>
      <w:r>
        <w:rPr>
          <w:rFonts w:hint="eastAsia"/>
          <w:sz w:val="24"/>
          <w:szCs w:val="24"/>
        </w:rPr>
        <w:t>%、折现率</w:t>
      </w:r>
      <w:r>
        <w:rPr>
          <w:rFonts w:hint="eastAsia"/>
          <w:sz w:val="24"/>
          <w:szCs w:val="24"/>
          <w:u w:val="single"/>
        </w:rPr>
        <w:t xml:space="preserve">   </w:t>
      </w:r>
      <w:r>
        <w:rPr>
          <w:rFonts w:hint="eastAsia"/>
          <w:sz w:val="24"/>
          <w:szCs w:val="24"/>
        </w:rPr>
        <w:t>%、融资利率</w:t>
      </w:r>
      <w:r>
        <w:rPr>
          <w:rFonts w:hint="eastAsia"/>
          <w:sz w:val="24"/>
          <w:szCs w:val="24"/>
          <w:u w:val="single"/>
        </w:rPr>
        <w:t xml:space="preserve">   </w:t>
      </w:r>
      <w:r>
        <w:rPr>
          <w:rFonts w:hint="eastAsia"/>
          <w:sz w:val="24"/>
          <w:szCs w:val="24"/>
        </w:rPr>
        <w:t>%。</w:t>
      </w:r>
    </w:p>
    <w:p>
      <w:pPr>
        <w:tabs>
          <w:tab w:val="clear" w:pos="3261"/>
          <w:tab w:val="clear" w:pos="4536"/>
        </w:tabs>
        <w:spacing w:line="500" w:lineRule="exact"/>
        <w:ind w:firstLine="480" w:firstLineChars="200"/>
        <w:rPr>
          <w:sz w:val="24"/>
          <w:szCs w:val="24"/>
        </w:rPr>
      </w:pPr>
      <w:r>
        <w:rPr>
          <w:rFonts w:hint="eastAsia"/>
          <w:sz w:val="24"/>
          <w:szCs w:val="24"/>
        </w:rPr>
        <w:t>10、项目业绩</w:t>
      </w:r>
      <w:r>
        <w:rPr>
          <w:rFonts w:hint="eastAsia"/>
          <w:sz w:val="24"/>
          <w:szCs w:val="24"/>
          <w:u w:val="single"/>
        </w:rPr>
        <w:t xml:space="preserve">      </w:t>
      </w:r>
      <w:r>
        <w:rPr>
          <w:rFonts w:hint="eastAsia"/>
          <w:sz w:val="24"/>
          <w:szCs w:val="24"/>
        </w:rPr>
        <w:t>个，项目名称分别为</w:t>
      </w:r>
      <w:r>
        <w:rPr>
          <w:rFonts w:hint="eastAsia"/>
          <w:sz w:val="24"/>
          <w:szCs w:val="24"/>
          <w:u w:val="single"/>
        </w:rPr>
        <w:t xml:space="preserve">     </w:t>
      </w:r>
      <w:r>
        <w:rPr>
          <w:rFonts w:hint="eastAsia"/>
          <w:sz w:val="24"/>
          <w:szCs w:val="24"/>
        </w:rPr>
        <w:t>，项目投资规模分别为</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rFonts w:hint="eastAsia"/>
          <w:sz w:val="24"/>
          <w:szCs w:val="24"/>
        </w:rPr>
        <w:t>，单个项目最大投资额为</w:t>
      </w:r>
      <w:r>
        <w:rPr>
          <w:rFonts w:hint="eastAsia"/>
          <w:sz w:val="24"/>
          <w:szCs w:val="24"/>
          <w:u w:val="single"/>
        </w:rPr>
        <w:t xml:space="preserve">      </w:t>
      </w:r>
      <w:r>
        <w:rPr>
          <w:rFonts w:hint="eastAsia"/>
          <w:sz w:val="24"/>
          <w:szCs w:val="24"/>
        </w:rPr>
        <w:t>万元。（请根据建设、运营分别列出）。</w:t>
      </w:r>
    </w:p>
    <w:p>
      <w:pPr>
        <w:tabs>
          <w:tab w:val="clear" w:pos="3261"/>
          <w:tab w:val="clear" w:pos="4536"/>
        </w:tabs>
        <w:spacing w:line="500" w:lineRule="exact"/>
        <w:ind w:firstLine="480" w:firstLineChars="200"/>
        <w:rPr>
          <w:sz w:val="24"/>
          <w:szCs w:val="24"/>
        </w:rPr>
      </w:pPr>
      <w:r>
        <w:rPr>
          <w:rFonts w:hint="eastAsia"/>
          <w:sz w:val="24"/>
          <w:szCs w:val="24"/>
        </w:rPr>
        <w:t>11、企业已完成或正在建设的林业类PPP项目：</w:t>
      </w:r>
    </w:p>
    <w:p>
      <w:pPr>
        <w:tabs>
          <w:tab w:val="clear" w:pos="3261"/>
          <w:tab w:val="clear" w:pos="4536"/>
        </w:tabs>
        <w:spacing w:line="500" w:lineRule="exact"/>
        <w:ind w:firstLine="480" w:firstLineChars="200"/>
        <w:rPr>
          <w:sz w:val="24"/>
          <w:szCs w:val="24"/>
        </w:rPr>
      </w:pPr>
      <w:r>
        <w:rPr>
          <w:rFonts w:hint="eastAsia"/>
          <w:sz w:val="24"/>
          <w:szCs w:val="24"/>
        </w:rPr>
        <w:t>12、企业项目的获奖情况：</w:t>
      </w:r>
    </w:p>
    <w:p>
      <w:pPr>
        <w:tabs>
          <w:tab w:val="clear" w:pos="3261"/>
          <w:tab w:val="clear" w:pos="4536"/>
        </w:tabs>
        <w:spacing w:line="500" w:lineRule="exact"/>
        <w:ind w:firstLine="480" w:firstLineChars="200"/>
        <w:rPr>
          <w:sz w:val="24"/>
          <w:szCs w:val="24"/>
        </w:rPr>
      </w:pPr>
      <w:r>
        <w:rPr>
          <w:rFonts w:hint="eastAsia"/>
          <w:sz w:val="24"/>
          <w:szCs w:val="24"/>
        </w:rPr>
        <w:t>13、企业安全情况：</w:t>
      </w:r>
    </w:p>
    <w:p>
      <w:pPr>
        <w:tabs>
          <w:tab w:val="clear" w:pos="3261"/>
          <w:tab w:val="clear" w:pos="4536"/>
        </w:tabs>
        <w:spacing w:line="500" w:lineRule="exact"/>
        <w:ind w:firstLine="480" w:firstLineChars="200"/>
        <w:rPr>
          <w:sz w:val="24"/>
          <w:szCs w:val="24"/>
        </w:rPr>
      </w:pPr>
      <w:r>
        <w:rPr>
          <w:rFonts w:hint="eastAsia"/>
          <w:sz w:val="24"/>
          <w:szCs w:val="24"/>
        </w:rPr>
        <w:t>企业最近5年特别重大安全事故</w:t>
      </w:r>
      <w:r>
        <w:rPr>
          <w:rFonts w:hint="eastAsia"/>
          <w:sz w:val="24"/>
          <w:szCs w:val="24"/>
          <w:u w:val="single"/>
        </w:rPr>
        <w:t xml:space="preserve">      </w:t>
      </w:r>
      <w:r>
        <w:rPr>
          <w:rFonts w:hint="eastAsia"/>
          <w:sz w:val="24"/>
          <w:szCs w:val="24"/>
        </w:rPr>
        <w:t>次；</w:t>
      </w:r>
    </w:p>
    <w:p>
      <w:pPr>
        <w:tabs>
          <w:tab w:val="clear" w:pos="3261"/>
          <w:tab w:val="clear" w:pos="4536"/>
        </w:tabs>
        <w:spacing w:line="500" w:lineRule="exact"/>
        <w:ind w:firstLine="480" w:firstLineChars="200"/>
        <w:rPr>
          <w:sz w:val="24"/>
          <w:szCs w:val="24"/>
        </w:rPr>
      </w:pPr>
      <w:r>
        <w:rPr>
          <w:rFonts w:hint="eastAsia"/>
          <w:sz w:val="24"/>
          <w:szCs w:val="24"/>
        </w:rPr>
        <w:t>企业最近5年重大安全事故</w:t>
      </w:r>
      <w:r>
        <w:rPr>
          <w:rFonts w:hint="eastAsia"/>
          <w:sz w:val="24"/>
          <w:szCs w:val="24"/>
          <w:u w:val="single"/>
        </w:rPr>
        <w:t xml:space="preserve">      </w:t>
      </w:r>
      <w:r>
        <w:rPr>
          <w:rFonts w:hint="eastAsia"/>
          <w:sz w:val="24"/>
          <w:szCs w:val="24"/>
        </w:rPr>
        <w:t>次；</w:t>
      </w:r>
    </w:p>
    <w:p>
      <w:pPr>
        <w:tabs>
          <w:tab w:val="clear" w:pos="3261"/>
          <w:tab w:val="clear" w:pos="4536"/>
        </w:tabs>
        <w:spacing w:line="500" w:lineRule="exact"/>
        <w:ind w:firstLine="480" w:firstLineChars="200"/>
        <w:rPr>
          <w:sz w:val="24"/>
          <w:szCs w:val="24"/>
        </w:rPr>
      </w:pPr>
      <w:r>
        <w:rPr>
          <w:rFonts w:hint="eastAsia"/>
          <w:sz w:val="24"/>
          <w:szCs w:val="24"/>
        </w:rPr>
        <w:t>企业最近5年较大安全事故</w:t>
      </w:r>
      <w:r>
        <w:rPr>
          <w:rFonts w:hint="eastAsia"/>
          <w:sz w:val="24"/>
          <w:szCs w:val="24"/>
          <w:u w:val="single"/>
        </w:rPr>
        <w:t xml:space="preserve">      </w:t>
      </w:r>
      <w:r>
        <w:rPr>
          <w:rFonts w:hint="eastAsia"/>
          <w:sz w:val="24"/>
          <w:szCs w:val="24"/>
        </w:rPr>
        <w:t>次；</w:t>
      </w:r>
    </w:p>
    <w:p>
      <w:pPr>
        <w:tabs>
          <w:tab w:val="clear" w:pos="3261"/>
          <w:tab w:val="clear" w:pos="4536"/>
        </w:tabs>
        <w:spacing w:line="500" w:lineRule="exact"/>
        <w:ind w:firstLine="480" w:firstLineChars="200"/>
        <w:rPr>
          <w:sz w:val="24"/>
          <w:szCs w:val="24"/>
        </w:rPr>
      </w:pPr>
      <w:r>
        <w:rPr>
          <w:rFonts w:hint="eastAsia"/>
          <w:sz w:val="24"/>
          <w:szCs w:val="24"/>
        </w:rPr>
        <w:t>企业最近5年一般安全事故</w:t>
      </w:r>
      <w:r>
        <w:rPr>
          <w:rFonts w:hint="eastAsia"/>
          <w:sz w:val="24"/>
          <w:szCs w:val="24"/>
          <w:u w:val="single"/>
        </w:rPr>
        <w:t xml:space="preserve">      </w:t>
      </w:r>
      <w:r>
        <w:rPr>
          <w:rFonts w:hint="eastAsia"/>
          <w:sz w:val="24"/>
          <w:szCs w:val="24"/>
        </w:rPr>
        <w:t>次。</w:t>
      </w:r>
    </w:p>
    <w:p>
      <w:pPr>
        <w:tabs>
          <w:tab w:val="clear" w:pos="3261"/>
          <w:tab w:val="clear" w:pos="4536"/>
        </w:tabs>
        <w:spacing w:line="500" w:lineRule="exact"/>
        <w:ind w:firstLine="480" w:firstLineChars="200"/>
        <w:rPr>
          <w:sz w:val="24"/>
          <w:szCs w:val="24"/>
        </w:rPr>
      </w:pPr>
      <w:r>
        <w:rPr>
          <w:rFonts w:hint="eastAsia"/>
          <w:sz w:val="24"/>
          <w:szCs w:val="24"/>
        </w:rPr>
        <w:t>14、是否采用联合体方式：□是  □否（请打“</w:t>
      </w:r>
      <w:r>
        <w:rPr>
          <w:sz w:val="24"/>
          <w:szCs w:val="24"/>
        </w:rPr>
        <w:t>√</w:t>
      </w:r>
      <w:r>
        <w:rPr>
          <w:rFonts w:hint="eastAsia"/>
          <w:sz w:val="24"/>
          <w:szCs w:val="24"/>
        </w:rPr>
        <w:t>”），若采用联合体方式，请列明联合体方上述1-13项基本情况，（联合体成员家数</w:t>
      </w:r>
      <w:r>
        <w:rPr>
          <w:rFonts w:hint="eastAsia"/>
          <w:sz w:val="24"/>
          <w:szCs w:val="24"/>
          <w:u w:val="single"/>
        </w:rPr>
        <w:t xml:space="preserve">    </w:t>
      </w:r>
      <w:r>
        <w:rPr>
          <w:rFonts w:hint="eastAsia"/>
          <w:sz w:val="24"/>
          <w:szCs w:val="24"/>
        </w:rPr>
        <w:t>）。</w:t>
      </w:r>
    </w:p>
    <w:p>
      <w:pPr>
        <w:tabs>
          <w:tab w:val="clear" w:pos="3261"/>
          <w:tab w:val="clear" w:pos="4536"/>
        </w:tabs>
        <w:spacing w:line="500" w:lineRule="exact"/>
        <w:ind w:firstLine="482" w:firstLineChars="200"/>
        <w:rPr>
          <w:b/>
          <w:sz w:val="24"/>
          <w:szCs w:val="24"/>
        </w:rPr>
      </w:pPr>
      <w:r>
        <w:rPr>
          <w:rFonts w:hint="eastAsia"/>
          <w:b/>
          <w:sz w:val="24"/>
          <w:szCs w:val="24"/>
        </w:rPr>
        <w:t>二、市场测试内容</w:t>
      </w:r>
    </w:p>
    <w:p>
      <w:pPr>
        <w:numPr>
          <w:ilvl w:val="0"/>
          <w:numId w:val="9"/>
        </w:numPr>
        <w:tabs>
          <w:tab w:val="clear" w:pos="3261"/>
          <w:tab w:val="clear" w:pos="4536"/>
        </w:tabs>
        <w:spacing w:line="360" w:lineRule="auto"/>
        <w:ind w:firstLineChars="0"/>
        <w:rPr>
          <w:sz w:val="24"/>
          <w:szCs w:val="24"/>
        </w:rPr>
      </w:pPr>
      <w:r>
        <w:rPr>
          <w:rFonts w:hint="eastAsia"/>
          <w:sz w:val="24"/>
          <w:szCs w:val="24"/>
        </w:rPr>
        <w:t>关于项目投融资结构及项目公司股权结构的建议</w:t>
      </w:r>
    </w:p>
    <w:p>
      <w:pPr>
        <w:numPr>
          <w:ilvl w:val="0"/>
          <w:numId w:val="9"/>
        </w:numPr>
        <w:tabs>
          <w:tab w:val="clear" w:pos="3261"/>
          <w:tab w:val="clear" w:pos="4536"/>
        </w:tabs>
        <w:spacing w:line="360" w:lineRule="auto"/>
        <w:ind w:firstLineChars="0"/>
        <w:rPr>
          <w:sz w:val="24"/>
          <w:szCs w:val="24"/>
        </w:rPr>
      </w:pPr>
      <w:r>
        <w:rPr>
          <w:rFonts w:hint="eastAsia"/>
          <w:sz w:val="24"/>
          <w:szCs w:val="24"/>
        </w:rPr>
        <w:t>关于运作模式的建议（包括资本金比例和股权结构）</w:t>
      </w:r>
    </w:p>
    <w:p>
      <w:pPr>
        <w:numPr>
          <w:ilvl w:val="0"/>
          <w:numId w:val="9"/>
        </w:numPr>
        <w:tabs>
          <w:tab w:val="clear" w:pos="3261"/>
          <w:tab w:val="clear" w:pos="4536"/>
        </w:tabs>
        <w:spacing w:line="360" w:lineRule="auto"/>
        <w:ind w:firstLineChars="0"/>
        <w:rPr>
          <w:sz w:val="24"/>
          <w:szCs w:val="24"/>
        </w:rPr>
      </w:pPr>
      <w:r>
        <w:rPr>
          <w:rFonts w:hint="eastAsia"/>
          <w:sz w:val="24"/>
          <w:szCs w:val="24"/>
        </w:rPr>
        <w:t>关于项目进入运营期的起点的建议</w:t>
      </w:r>
    </w:p>
    <w:p>
      <w:pPr>
        <w:numPr>
          <w:ilvl w:val="0"/>
          <w:numId w:val="9"/>
        </w:numPr>
        <w:tabs>
          <w:tab w:val="clear" w:pos="3261"/>
          <w:tab w:val="clear" w:pos="4536"/>
        </w:tabs>
        <w:spacing w:line="360" w:lineRule="auto"/>
        <w:ind w:firstLineChars="0"/>
        <w:rPr>
          <w:sz w:val="24"/>
          <w:szCs w:val="24"/>
        </w:rPr>
      </w:pPr>
      <w:r>
        <w:rPr>
          <w:rFonts w:hint="eastAsia"/>
          <w:sz w:val="24"/>
          <w:szCs w:val="24"/>
        </w:rPr>
        <w:t>关于项目土地流转的建议</w:t>
      </w:r>
    </w:p>
    <w:p>
      <w:pPr>
        <w:numPr>
          <w:ilvl w:val="0"/>
          <w:numId w:val="9"/>
        </w:numPr>
        <w:tabs>
          <w:tab w:val="clear" w:pos="3261"/>
          <w:tab w:val="clear" w:pos="4536"/>
        </w:tabs>
        <w:spacing w:line="360" w:lineRule="auto"/>
        <w:ind w:firstLineChars="0"/>
        <w:rPr>
          <w:sz w:val="24"/>
          <w:szCs w:val="24"/>
        </w:rPr>
      </w:pPr>
      <w:r>
        <w:rPr>
          <w:rFonts w:hint="eastAsia"/>
          <w:sz w:val="24"/>
          <w:szCs w:val="24"/>
        </w:rPr>
        <w:t>关于项目融资交割的建议</w:t>
      </w:r>
    </w:p>
    <w:p>
      <w:pPr>
        <w:numPr>
          <w:ilvl w:val="0"/>
          <w:numId w:val="9"/>
        </w:numPr>
        <w:tabs>
          <w:tab w:val="clear" w:pos="3261"/>
          <w:tab w:val="clear" w:pos="4536"/>
        </w:tabs>
        <w:spacing w:line="360" w:lineRule="auto"/>
        <w:ind w:firstLineChars="0"/>
        <w:rPr>
          <w:sz w:val="24"/>
          <w:szCs w:val="24"/>
        </w:rPr>
      </w:pPr>
      <w:r>
        <w:rPr>
          <w:rFonts w:hint="eastAsia"/>
          <w:sz w:val="24"/>
          <w:szCs w:val="24"/>
        </w:rPr>
        <w:t>关于回报机制的建议</w:t>
      </w:r>
    </w:p>
    <w:p>
      <w:pPr>
        <w:numPr>
          <w:ilvl w:val="0"/>
          <w:numId w:val="9"/>
        </w:numPr>
        <w:tabs>
          <w:tab w:val="clear" w:pos="3261"/>
          <w:tab w:val="clear" w:pos="4536"/>
        </w:tabs>
        <w:spacing w:line="360" w:lineRule="auto"/>
        <w:ind w:firstLineChars="0"/>
        <w:rPr>
          <w:sz w:val="24"/>
          <w:szCs w:val="24"/>
        </w:rPr>
      </w:pPr>
      <w:r>
        <w:rPr>
          <w:rFonts w:hint="eastAsia"/>
          <w:sz w:val="24"/>
          <w:szCs w:val="24"/>
        </w:rPr>
        <w:t>关于项目可行性缺口补助费用计算及支付的</w:t>
      </w:r>
      <w:r>
        <w:rPr>
          <w:sz w:val="24"/>
          <w:szCs w:val="24"/>
        </w:rPr>
        <w:t>建议</w:t>
      </w:r>
    </w:p>
    <w:p>
      <w:pPr>
        <w:numPr>
          <w:ilvl w:val="0"/>
          <w:numId w:val="9"/>
        </w:numPr>
        <w:tabs>
          <w:tab w:val="clear" w:pos="3261"/>
          <w:tab w:val="clear" w:pos="4536"/>
        </w:tabs>
        <w:spacing w:line="360" w:lineRule="auto"/>
        <w:ind w:firstLineChars="0"/>
        <w:rPr>
          <w:sz w:val="24"/>
          <w:szCs w:val="24"/>
        </w:rPr>
      </w:pPr>
      <w:r>
        <w:rPr>
          <w:sz w:val="24"/>
          <w:szCs w:val="24"/>
        </w:rPr>
        <w:t>关于</w:t>
      </w:r>
      <w:r>
        <w:rPr>
          <w:rFonts w:hint="eastAsia"/>
          <w:sz w:val="24"/>
          <w:szCs w:val="24"/>
        </w:rPr>
        <w:t>合作期内的上级专项补贴/补助资金的建议</w:t>
      </w:r>
    </w:p>
    <w:p>
      <w:pPr>
        <w:numPr>
          <w:ilvl w:val="0"/>
          <w:numId w:val="9"/>
        </w:numPr>
        <w:tabs>
          <w:tab w:val="clear" w:pos="3261"/>
          <w:tab w:val="clear" w:pos="4536"/>
        </w:tabs>
        <w:spacing w:line="360" w:lineRule="auto"/>
        <w:ind w:firstLineChars="0"/>
        <w:rPr>
          <w:sz w:val="24"/>
          <w:szCs w:val="24"/>
        </w:rPr>
      </w:pPr>
      <w:r>
        <w:rPr>
          <w:rFonts w:hint="eastAsia"/>
          <w:sz w:val="24"/>
          <w:szCs w:val="24"/>
        </w:rPr>
        <w:t>关于调价机制的建议</w:t>
      </w:r>
    </w:p>
    <w:p>
      <w:pPr>
        <w:tabs>
          <w:tab w:val="clear" w:pos="3261"/>
          <w:tab w:val="clear" w:pos="4536"/>
        </w:tabs>
        <w:spacing w:line="360" w:lineRule="auto"/>
        <w:ind w:left="422" w:firstLine="0" w:firstLineChars="0"/>
        <w:rPr>
          <w:sz w:val="24"/>
          <w:szCs w:val="24"/>
        </w:rPr>
      </w:pPr>
      <w:r>
        <w:rPr>
          <w:rFonts w:hint="eastAsia"/>
          <w:sz w:val="24"/>
          <w:szCs w:val="24"/>
        </w:rPr>
        <w:t>10、关于超额收益分配机制的建议</w:t>
      </w:r>
    </w:p>
    <w:p>
      <w:pPr>
        <w:tabs>
          <w:tab w:val="clear" w:pos="3261"/>
          <w:tab w:val="clear" w:pos="4536"/>
        </w:tabs>
        <w:spacing w:line="360" w:lineRule="auto"/>
        <w:ind w:left="422" w:firstLine="0" w:firstLineChars="0"/>
        <w:rPr>
          <w:sz w:val="24"/>
          <w:szCs w:val="24"/>
        </w:rPr>
      </w:pPr>
      <w:r>
        <w:rPr>
          <w:rFonts w:hint="eastAsia"/>
          <w:sz w:val="24"/>
          <w:szCs w:val="24"/>
        </w:rPr>
        <w:t>11、关于项目绩效考核的建议</w:t>
      </w:r>
    </w:p>
    <w:p>
      <w:pPr>
        <w:tabs>
          <w:tab w:val="clear" w:pos="3261"/>
          <w:tab w:val="clear" w:pos="4536"/>
        </w:tabs>
        <w:spacing w:line="360" w:lineRule="auto"/>
        <w:ind w:left="422" w:firstLine="0" w:firstLineChars="0"/>
        <w:rPr>
          <w:sz w:val="24"/>
          <w:szCs w:val="24"/>
        </w:rPr>
      </w:pPr>
      <w:r>
        <w:rPr>
          <w:rFonts w:hint="eastAsia"/>
          <w:sz w:val="24"/>
          <w:szCs w:val="24"/>
        </w:rPr>
        <w:t>12、关于履约保障的建议</w:t>
      </w:r>
    </w:p>
    <w:p>
      <w:pPr>
        <w:tabs>
          <w:tab w:val="clear" w:pos="3261"/>
          <w:tab w:val="clear" w:pos="4536"/>
        </w:tabs>
        <w:spacing w:line="360" w:lineRule="auto"/>
        <w:ind w:left="422" w:firstLine="0" w:firstLineChars="0"/>
        <w:rPr>
          <w:sz w:val="24"/>
          <w:szCs w:val="24"/>
        </w:rPr>
      </w:pPr>
      <w:r>
        <w:rPr>
          <w:rFonts w:hint="eastAsia"/>
          <w:sz w:val="24"/>
          <w:szCs w:val="24"/>
        </w:rPr>
        <w:t>13、关于报价指标的建议</w:t>
      </w:r>
    </w:p>
    <w:p>
      <w:pPr>
        <w:tabs>
          <w:tab w:val="clear" w:pos="3261"/>
          <w:tab w:val="clear" w:pos="4536"/>
        </w:tabs>
        <w:spacing w:line="500" w:lineRule="exact"/>
        <w:ind w:firstLine="482" w:firstLineChars="200"/>
        <w:rPr>
          <w:b/>
          <w:sz w:val="24"/>
          <w:szCs w:val="24"/>
        </w:rPr>
      </w:pPr>
      <w:r>
        <w:rPr>
          <w:rFonts w:hint="eastAsia"/>
          <w:b/>
          <w:sz w:val="24"/>
          <w:szCs w:val="24"/>
        </w:rPr>
        <w:t>请各潜在社会资本就以上测试内容或其他关注内容与问题，逐条提出意见和建议，且可根据自身情况可提出不同的方案。</w:t>
      </w:r>
    </w:p>
    <w:p>
      <w:pPr>
        <w:tabs>
          <w:tab w:val="clear" w:pos="3261"/>
          <w:tab w:val="clear" w:pos="4536"/>
        </w:tabs>
        <w:spacing w:line="360" w:lineRule="auto"/>
        <w:ind w:firstLine="480" w:firstLineChars="200"/>
        <w:rPr>
          <w:sz w:val="24"/>
          <w:szCs w:val="24"/>
        </w:rPr>
      </w:pPr>
      <w:r>
        <w:rPr>
          <w:rFonts w:hint="eastAsia"/>
          <w:sz w:val="24"/>
          <w:szCs w:val="24"/>
        </w:rPr>
        <w:t>提交反馈意见表时，</w:t>
      </w:r>
      <w:r>
        <w:rPr>
          <w:sz w:val="24"/>
          <w:szCs w:val="24"/>
        </w:rPr>
        <w:t>请各潜在投资人提交公司营业执照</w:t>
      </w:r>
      <w:r>
        <w:rPr>
          <w:rFonts w:hint="eastAsia"/>
          <w:sz w:val="24"/>
          <w:szCs w:val="24"/>
        </w:rPr>
        <w:t>、组织机构代码证、</w:t>
      </w:r>
      <w:r>
        <w:rPr>
          <w:sz w:val="24"/>
          <w:szCs w:val="24"/>
        </w:rPr>
        <w:t>资质证明</w:t>
      </w:r>
      <w:r>
        <w:rPr>
          <w:rFonts w:hint="eastAsia"/>
          <w:sz w:val="24"/>
          <w:szCs w:val="24"/>
        </w:rPr>
        <w:t>、</w:t>
      </w:r>
      <w:r>
        <w:rPr>
          <w:sz w:val="24"/>
          <w:szCs w:val="24"/>
        </w:rPr>
        <w:t>资信证明等材料的复印件并加盖公章</w:t>
      </w:r>
      <w:r>
        <w:rPr>
          <w:rFonts w:hint="eastAsia"/>
          <w:sz w:val="24"/>
          <w:szCs w:val="24"/>
        </w:rPr>
        <w:t>。</w:t>
      </w:r>
    </w:p>
    <w:sectPr>
      <w:pgSz w:w="11906" w:h="16838"/>
      <w:pgMar w:top="1440" w:right="1797" w:bottom="1440" w:left="1797" w:header="102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等线 Light">
    <w:altName w:val="微软雅黑"/>
    <w:panose1 w:val="02010600030101010101"/>
    <w:charset w:val="86"/>
    <w:family w:val="auto"/>
    <w:pitch w:val="default"/>
    <w:sig w:usb0="00000000" w:usb1="00000000" w:usb2="00000016" w:usb3="00000000" w:csb0="0004000F" w:csb1="00000000"/>
  </w:font>
  <w:font w:name="ˎ̥">
    <w:altName w:val="宋体"/>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冼极">
    <w:altName w:val="MingLiU"/>
    <w:panose1 w:val="00000000000000000000"/>
    <w:charset w:val="88"/>
    <w:family w:val="roman"/>
    <w:pitch w:val="default"/>
    <w:sig w:usb0="00000000" w:usb1="00000000" w:usb2="00000010" w:usb3="00000000" w:csb0="00100000"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1329303"/>
    </w:sdtPr>
    <w:sdtContent>
      <w:p>
        <w:pPr>
          <w:pStyle w:val="26"/>
          <w:ind w:firstLine="364"/>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37</w:t>
        </w:r>
        <w:r>
          <w:rPr>
            <w:rFonts w:ascii="Times New Roman" w:hAnsi="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1"/>
      </w:pBdr>
      <w:ind w:firstLine="36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8"/>
      <w:ind w:firstLine="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4"/>
    </w:pPr>
    <w:r>
      <w:rPr>
        <w:rFonts w:hint="eastAsia"/>
      </w:rPr>
      <w:t>河南省平顶山市市本级国家储备林基地建设</w:t>
    </w:r>
    <w:r>
      <w:rPr>
        <w:rFonts w:hint="eastAsia" w:ascii="Times New Roman" w:hAnsi="Times New Roman"/>
      </w:rPr>
      <w:t>PPP</w:t>
    </w:r>
    <w:r>
      <w:rPr>
        <w:rFonts w:hint="eastAsia"/>
      </w:rPr>
      <w:t>项目市场测试方案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493"/>
    <w:multiLevelType w:val="multilevel"/>
    <w:tmpl w:val="053D3493"/>
    <w:lvl w:ilvl="0" w:tentative="0">
      <w:start w:val="1"/>
      <w:numFmt w:val="decimal"/>
      <w:lvlText w:val="%1、"/>
      <w:lvlJc w:val="left"/>
      <w:pPr>
        <w:ind w:left="782" w:hanging="360"/>
      </w:pPr>
      <w:rPr>
        <w:rFonts w:hint="default" w:ascii="Times New Roman" w:hAnsi="Times New Roman" w:cs="Times New Roman"/>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0FFFFF7C"/>
    <w:multiLevelType w:val="singleLevel"/>
    <w:tmpl w:val="0FFFFF7C"/>
    <w:lvl w:ilvl="0" w:tentative="0">
      <w:start w:val="1"/>
      <w:numFmt w:val="decimal"/>
      <w:pStyle w:val="114"/>
      <w:lvlText w:val="%1."/>
      <w:lvlJc w:val="left"/>
      <w:pPr>
        <w:tabs>
          <w:tab w:val="left" w:pos="2040"/>
        </w:tabs>
        <w:ind w:left="2040" w:hanging="360"/>
      </w:pPr>
    </w:lvl>
  </w:abstractNum>
  <w:abstractNum w:abstractNumId="2">
    <w:nsid w:val="0FFFFF7D"/>
    <w:multiLevelType w:val="singleLevel"/>
    <w:tmpl w:val="0FFFFF7D"/>
    <w:lvl w:ilvl="0" w:tentative="0">
      <w:start w:val="1"/>
      <w:numFmt w:val="decimal"/>
      <w:pStyle w:val="113"/>
      <w:lvlText w:val="%1."/>
      <w:lvlJc w:val="left"/>
      <w:pPr>
        <w:tabs>
          <w:tab w:val="left" w:pos="1620"/>
        </w:tabs>
        <w:ind w:left="1620" w:hanging="360"/>
      </w:pPr>
    </w:lvl>
  </w:abstractNum>
  <w:abstractNum w:abstractNumId="3">
    <w:nsid w:val="0FFFFF7F"/>
    <w:multiLevelType w:val="singleLevel"/>
    <w:tmpl w:val="0FFFFF7F"/>
    <w:lvl w:ilvl="0" w:tentative="0">
      <w:start w:val="1"/>
      <w:numFmt w:val="decimal"/>
      <w:pStyle w:val="112"/>
      <w:lvlText w:val="%1."/>
      <w:lvlJc w:val="left"/>
      <w:pPr>
        <w:tabs>
          <w:tab w:val="left" w:pos="780"/>
        </w:tabs>
        <w:ind w:left="780" w:hanging="360"/>
      </w:pPr>
    </w:lvl>
  </w:abstractNum>
  <w:abstractNum w:abstractNumId="4">
    <w:nsid w:val="0FFFFF80"/>
    <w:multiLevelType w:val="singleLevel"/>
    <w:tmpl w:val="0FFFFF80"/>
    <w:lvl w:ilvl="0" w:tentative="0">
      <w:start w:val="1"/>
      <w:numFmt w:val="bullet"/>
      <w:pStyle w:val="24"/>
      <w:lvlText w:val=""/>
      <w:lvlJc w:val="left"/>
      <w:pPr>
        <w:tabs>
          <w:tab w:val="left" w:pos="2040"/>
        </w:tabs>
        <w:ind w:left="2040" w:hanging="360"/>
      </w:pPr>
      <w:rPr>
        <w:rFonts w:hint="default" w:ascii="Wingdings" w:hAnsi="Wingdings"/>
      </w:rPr>
    </w:lvl>
  </w:abstractNum>
  <w:abstractNum w:abstractNumId="5">
    <w:nsid w:val="0FFFFF83"/>
    <w:multiLevelType w:val="singleLevel"/>
    <w:tmpl w:val="0FFFFF83"/>
    <w:lvl w:ilvl="0" w:tentative="0">
      <w:start w:val="1"/>
      <w:numFmt w:val="bullet"/>
      <w:pStyle w:val="110"/>
      <w:lvlText w:val=""/>
      <w:lvlJc w:val="left"/>
      <w:pPr>
        <w:tabs>
          <w:tab w:val="left" w:pos="780"/>
        </w:tabs>
        <w:ind w:left="780" w:hanging="360"/>
      </w:pPr>
      <w:rPr>
        <w:rFonts w:hint="default" w:ascii="Wingdings" w:hAnsi="Wingdings"/>
      </w:rPr>
    </w:lvl>
  </w:abstractNum>
  <w:abstractNum w:abstractNumId="6">
    <w:nsid w:val="0FFFFF88"/>
    <w:multiLevelType w:val="singleLevel"/>
    <w:tmpl w:val="0FFFFF88"/>
    <w:lvl w:ilvl="0" w:tentative="0">
      <w:start w:val="1"/>
      <w:numFmt w:val="decimal"/>
      <w:pStyle w:val="13"/>
      <w:lvlText w:val="%1."/>
      <w:lvlJc w:val="left"/>
      <w:pPr>
        <w:tabs>
          <w:tab w:val="left" w:pos="360"/>
        </w:tabs>
        <w:ind w:left="360" w:hanging="360"/>
      </w:pPr>
    </w:lvl>
  </w:abstractNum>
  <w:abstractNum w:abstractNumId="7">
    <w:nsid w:val="0FFFFF89"/>
    <w:multiLevelType w:val="singleLevel"/>
    <w:tmpl w:val="0FFFFF89"/>
    <w:lvl w:ilvl="0" w:tentative="0">
      <w:start w:val="1"/>
      <w:numFmt w:val="bullet"/>
      <w:pStyle w:val="105"/>
      <w:lvlText w:val=""/>
      <w:lvlJc w:val="left"/>
      <w:pPr>
        <w:tabs>
          <w:tab w:val="left" w:pos="360"/>
        </w:tabs>
        <w:ind w:left="360" w:hanging="360"/>
      </w:pPr>
      <w:rPr>
        <w:rFonts w:hint="default" w:ascii="Wingdings" w:hAnsi="Wingdings"/>
      </w:rPr>
    </w:lvl>
  </w:abstractNum>
  <w:abstractNum w:abstractNumId="8">
    <w:nsid w:val="7FE260CE"/>
    <w:multiLevelType w:val="multilevel"/>
    <w:tmpl w:val="7FE260C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FE"/>
    <w:rsid w:val="0000122A"/>
    <w:rsid w:val="0000182A"/>
    <w:rsid w:val="00005D89"/>
    <w:rsid w:val="00006BE1"/>
    <w:rsid w:val="00006CF0"/>
    <w:rsid w:val="00010EC6"/>
    <w:rsid w:val="00013708"/>
    <w:rsid w:val="00013A11"/>
    <w:rsid w:val="00014D92"/>
    <w:rsid w:val="00014F5F"/>
    <w:rsid w:val="00017A9C"/>
    <w:rsid w:val="00020C6F"/>
    <w:rsid w:val="00020D14"/>
    <w:rsid w:val="00020F4B"/>
    <w:rsid w:val="00021551"/>
    <w:rsid w:val="00021AEA"/>
    <w:rsid w:val="00022EB7"/>
    <w:rsid w:val="00023511"/>
    <w:rsid w:val="000250A5"/>
    <w:rsid w:val="00027EC1"/>
    <w:rsid w:val="0003081E"/>
    <w:rsid w:val="0003211A"/>
    <w:rsid w:val="00033252"/>
    <w:rsid w:val="00033CEE"/>
    <w:rsid w:val="000345F6"/>
    <w:rsid w:val="00034C5D"/>
    <w:rsid w:val="0003676E"/>
    <w:rsid w:val="000368E6"/>
    <w:rsid w:val="00036AE3"/>
    <w:rsid w:val="00040217"/>
    <w:rsid w:val="00042622"/>
    <w:rsid w:val="00047BAA"/>
    <w:rsid w:val="00050423"/>
    <w:rsid w:val="00051F51"/>
    <w:rsid w:val="00053AFB"/>
    <w:rsid w:val="00053E2D"/>
    <w:rsid w:val="00055AF8"/>
    <w:rsid w:val="00055B06"/>
    <w:rsid w:val="000567F7"/>
    <w:rsid w:val="00062432"/>
    <w:rsid w:val="00066EB3"/>
    <w:rsid w:val="0006799E"/>
    <w:rsid w:val="000679AF"/>
    <w:rsid w:val="0007071C"/>
    <w:rsid w:val="0007086C"/>
    <w:rsid w:val="0007147D"/>
    <w:rsid w:val="00071594"/>
    <w:rsid w:val="00076291"/>
    <w:rsid w:val="00076F74"/>
    <w:rsid w:val="0007720C"/>
    <w:rsid w:val="0008031B"/>
    <w:rsid w:val="000819E3"/>
    <w:rsid w:val="00083F5C"/>
    <w:rsid w:val="0008534A"/>
    <w:rsid w:val="00085677"/>
    <w:rsid w:val="00092D92"/>
    <w:rsid w:val="00093410"/>
    <w:rsid w:val="000939FD"/>
    <w:rsid w:val="00093E9F"/>
    <w:rsid w:val="00094A8D"/>
    <w:rsid w:val="00094C1B"/>
    <w:rsid w:val="00095917"/>
    <w:rsid w:val="00095A57"/>
    <w:rsid w:val="000A0291"/>
    <w:rsid w:val="000A0C9E"/>
    <w:rsid w:val="000A26F7"/>
    <w:rsid w:val="000A2799"/>
    <w:rsid w:val="000A3CB2"/>
    <w:rsid w:val="000A40EF"/>
    <w:rsid w:val="000A4A58"/>
    <w:rsid w:val="000A4A91"/>
    <w:rsid w:val="000A4C09"/>
    <w:rsid w:val="000A4DA6"/>
    <w:rsid w:val="000B3B2C"/>
    <w:rsid w:val="000B4FB3"/>
    <w:rsid w:val="000B5165"/>
    <w:rsid w:val="000B5ED7"/>
    <w:rsid w:val="000C0F1C"/>
    <w:rsid w:val="000C0FD6"/>
    <w:rsid w:val="000C1C74"/>
    <w:rsid w:val="000C1CD0"/>
    <w:rsid w:val="000C2B45"/>
    <w:rsid w:val="000C2C38"/>
    <w:rsid w:val="000C3E89"/>
    <w:rsid w:val="000C447D"/>
    <w:rsid w:val="000C48BF"/>
    <w:rsid w:val="000C7757"/>
    <w:rsid w:val="000D05BE"/>
    <w:rsid w:val="000D07BA"/>
    <w:rsid w:val="000D113D"/>
    <w:rsid w:val="000D2799"/>
    <w:rsid w:val="000D4289"/>
    <w:rsid w:val="000D63DD"/>
    <w:rsid w:val="000D7AFA"/>
    <w:rsid w:val="000D7BDF"/>
    <w:rsid w:val="000D7D98"/>
    <w:rsid w:val="000E04B6"/>
    <w:rsid w:val="000E177B"/>
    <w:rsid w:val="000E31F0"/>
    <w:rsid w:val="000E3B55"/>
    <w:rsid w:val="000E4515"/>
    <w:rsid w:val="000E453A"/>
    <w:rsid w:val="000E5480"/>
    <w:rsid w:val="000E6DFB"/>
    <w:rsid w:val="000E79C3"/>
    <w:rsid w:val="000F29FF"/>
    <w:rsid w:val="001019A8"/>
    <w:rsid w:val="00101A47"/>
    <w:rsid w:val="00101E19"/>
    <w:rsid w:val="00104D64"/>
    <w:rsid w:val="0010588E"/>
    <w:rsid w:val="001058DD"/>
    <w:rsid w:val="001059B5"/>
    <w:rsid w:val="00105D3C"/>
    <w:rsid w:val="0010688D"/>
    <w:rsid w:val="0011168E"/>
    <w:rsid w:val="00111EA2"/>
    <w:rsid w:val="0011285C"/>
    <w:rsid w:val="00114898"/>
    <w:rsid w:val="00117908"/>
    <w:rsid w:val="001214E6"/>
    <w:rsid w:val="001214FB"/>
    <w:rsid w:val="00125D33"/>
    <w:rsid w:val="001260F9"/>
    <w:rsid w:val="001264C8"/>
    <w:rsid w:val="0013054D"/>
    <w:rsid w:val="001315E2"/>
    <w:rsid w:val="00132CBA"/>
    <w:rsid w:val="00133BEF"/>
    <w:rsid w:val="001400D5"/>
    <w:rsid w:val="0014015A"/>
    <w:rsid w:val="00141CD1"/>
    <w:rsid w:val="00142ECE"/>
    <w:rsid w:val="001445AF"/>
    <w:rsid w:val="001447A0"/>
    <w:rsid w:val="00152AAA"/>
    <w:rsid w:val="00152FB3"/>
    <w:rsid w:val="001561E1"/>
    <w:rsid w:val="001565BA"/>
    <w:rsid w:val="00157676"/>
    <w:rsid w:val="00160F24"/>
    <w:rsid w:val="00161EA5"/>
    <w:rsid w:val="00170B93"/>
    <w:rsid w:val="00170EBC"/>
    <w:rsid w:val="00173A0E"/>
    <w:rsid w:val="001743CE"/>
    <w:rsid w:val="0017443D"/>
    <w:rsid w:val="00174A59"/>
    <w:rsid w:val="00174ACB"/>
    <w:rsid w:val="00175731"/>
    <w:rsid w:val="00177B0D"/>
    <w:rsid w:val="00177FBD"/>
    <w:rsid w:val="00180A80"/>
    <w:rsid w:val="0018355F"/>
    <w:rsid w:val="00183ED9"/>
    <w:rsid w:val="001848AA"/>
    <w:rsid w:val="001856CA"/>
    <w:rsid w:val="00190245"/>
    <w:rsid w:val="00191E35"/>
    <w:rsid w:val="00193AAD"/>
    <w:rsid w:val="00194504"/>
    <w:rsid w:val="00194DBB"/>
    <w:rsid w:val="001950A1"/>
    <w:rsid w:val="00197136"/>
    <w:rsid w:val="001A1F3D"/>
    <w:rsid w:val="001A2074"/>
    <w:rsid w:val="001A24C5"/>
    <w:rsid w:val="001A382D"/>
    <w:rsid w:val="001A42CD"/>
    <w:rsid w:val="001A442B"/>
    <w:rsid w:val="001A7F8F"/>
    <w:rsid w:val="001B0F87"/>
    <w:rsid w:val="001B110A"/>
    <w:rsid w:val="001B2FDE"/>
    <w:rsid w:val="001B6333"/>
    <w:rsid w:val="001B730C"/>
    <w:rsid w:val="001C03DA"/>
    <w:rsid w:val="001C05F0"/>
    <w:rsid w:val="001C2D31"/>
    <w:rsid w:val="001C2FA4"/>
    <w:rsid w:val="001C3A8B"/>
    <w:rsid w:val="001C3BBB"/>
    <w:rsid w:val="001C77C0"/>
    <w:rsid w:val="001C7EBD"/>
    <w:rsid w:val="001D1123"/>
    <w:rsid w:val="001D3470"/>
    <w:rsid w:val="001D37FE"/>
    <w:rsid w:val="001D5504"/>
    <w:rsid w:val="001D5AA7"/>
    <w:rsid w:val="001E05F4"/>
    <w:rsid w:val="001E0F9F"/>
    <w:rsid w:val="001E1B97"/>
    <w:rsid w:val="001E42C5"/>
    <w:rsid w:val="001E6148"/>
    <w:rsid w:val="001F27E6"/>
    <w:rsid w:val="001F544F"/>
    <w:rsid w:val="001F6006"/>
    <w:rsid w:val="001F687A"/>
    <w:rsid w:val="001F7C41"/>
    <w:rsid w:val="001F7F9E"/>
    <w:rsid w:val="00202DF8"/>
    <w:rsid w:val="00205DE3"/>
    <w:rsid w:val="00207E00"/>
    <w:rsid w:val="0021025D"/>
    <w:rsid w:val="0021253D"/>
    <w:rsid w:val="00212A1B"/>
    <w:rsid w:val="00214014"/>
    <w:rsid w:val="00215066"/>
    <w:rsid w:val="00220ED7"/>
    <w:rsid w:val="00222036"/>
    <w:rsid w:val="002233BB"/>
    <w:rsid w:val="002265B6"/>
    <w:rsid w:val="00227015"/>
    <w:rsid w:val="00234F37"/>
    <w:rsid w:val="0023647A"/>
    <w:rsid w:val="0024048A"/>
    <w:rsid w:val="00240502"/>
    <w:rsid w:val="00242F2D"/>
    <w:rsid w:val="00244C62"/>
    <w:rsid w:val="0024547D"/>
    <w:rsid w:val="0024598D"/>
    <w:rsid w:val="00246205"/>
    <w:rsid w:val="00246D18"/>
    <w:rsid w:val="00246F34"/>
    <w:rsid w:val="00251CDD"/>
    <w:rsid w:val="00252A17"/>
    <w:rsid w:val="002535D0"/>
    <w:rsid w:val="002539A3"/>
    <w:rsid w:val="00260226"/>
    <w:rsid w:val="00260E62"/>
    <w:rsid w:val="002622B0"/>
    <w:rsid w:val="002630D0"/>
    <w:rsid w:val="002635DA"/>
    <w:rsid w:val="00264FEB"/>
    <w:rsid w:val="002652FB"/>
    <w:rsid w:val="00266C5E"/>
    <w:rsid w:val="0026709A"/>
    <w:rsid w:val="002707D6"/>
    <w:rsid w:val="00273294"/>
    <w:rsid w:val="002753BE"/>
    <w:rsid w:val="002758DD"/>
    <w:rsid w:val="002768F7"/>
    <w:rsid w:val="00276A05"/>
    <w:rsid w:val="00277FC9"/>
    <w:rsid w:val="00280D3E"/>
    <w:rsid w:val="00281499"/>
    <w:rsid w:val="00282C2A"/>
    <w:rsid w:val="002856A4"/>
    <w:rsid w:val="0029787A"/>
    <w:rsid w:val="00297D70"/>
    <w:rsid w:val="002A1032"/>
    <w:rsid w:val="002A166E"/>
    <w:rsid w:val="002A3289"/>
    <w:rsid w:val="002A5C95"/>
    <w:rsid w:val="002A6784"/>
    <w:rsid w:val="002B2977"/>
    <w:rsid w:val="002B2A5B"/>
    <w:rsid w:val="002B3E68"/>
    <w:rsid w:val="002B483C"/>
    <w:rsid w:val="002B5EE7"/>
    <w:rsid w:val="002B7C64"/>
    <w:rsid w:val="002B7DF0"/>
    <w:rsid w:val="002B7E6F"/>
    <w:rsid w:val="002C4E29"/>
    <w:rsid w:val="002D3546"/>
    <w:rsid w:val="002D48BE"/>
    <w:rsid w:val="002D60F2"/>
    <w:rsid w:val="002D6129"/>
    <w:rsid w:val="002D6766"/>
    <w:rsid w:val="002D7DF6"/>
    <w:rsid w:val="002E1B8C"/>
    <w:rsid w:val="002E47D4"/>
    <w:rsid w:val="002E634E"/>
    <w:rsid w:val="002F19EA"/>
    <w:rsid w:val="002F352D"/>
    <w:rsid w:val="002F481A"/>
    <w:rsid w:val="002F51D6"/>
    <w:rsid w:val="002F5458"/>
    <w:rsid w:val="002F59BF"/>
    <w:rsid w:val="002F7004"/>
    <w:rsid w:val="002F78B7"/>
    <w:rsid w:val="003035F9"/>
    <w:rsid w:val="00304653"/>
    <w:rsid w:val="003051CC"/>
    <w:rsid w:val="00305E69"/>
    <w:rsid w:val="00306849"/>
    <w:rsid w:val="00306C4A"/>
    <w:rsid w:val="00310710"/>
    <w:rsid w:val="003107CC"/>
    <w:rsid w:val="00310DD2"/>
    <w:rsid w:val="00310DE7"/>
    <w:rsid w:val="0031225B"/>
    <w:rsid w:val="00313BE3"/>
    <w:rsid w:val="00315B7D"/>
    <w:rsid w:val="00315CFE"/>
    <w:rsid w:val="00316BCE"/>
    <w:rsid w:val="00323945"/>
    <w:rsid w:val="00324A1D"/>
    <w:rsid w:val="00324B43"/>
    <w:rsid w:val="0032583E"/>
    <w:rsid w:val="00326A61"/>
    <w:rsid w:val="003270BA"/>
    <w:rsid w:val="00327198"/>
    <w:rsid w:val="00327460"/>
    <w:rsid w:val="00327E43"/>
    <w:rsid w:val="00330226"/>
    <w:rsid w:val="00330FCE"/>
    <w:rsid w:val="003311AC"/>
    <w:rsid w:val="00336AB1"/>
    <w:rsid w:val="003433BA"/>
    <w:rsid w:val="003439FF"/>
    <w:rsid w:val="00343B70"/>
    <w:rsid w:val="003445BE"/>
    <w:rsid w:val="00344A38"/>
    <w:rsid w:val="00344CEA"/>
    <w:rsid w:val="003512B0"/>
    <w:rsid w:val="00354F6C"/>
    <w:rsid w:val="00355E56"/>
    <w:rsid w:val="00355F50"/>
    <w:rsid w:val="00356DDE"/>
    <w:rsid w:val="00361CF0"/>
    <w:rsid w:val="00362C35"/>
    <w:rsid w:val="00363A52"/>
    <w:rsid w:val="00364895"/>
    <w:rsid w:val="0036795B"/>
    <w:rsid w:val="003706F5"/>
    <w:rsid w:val="00371FD0"/>
    <w:rsid w:val="003736F7"/>
    <w:rsid w:val="00374A43"/>
    <w:rsid w:val="00375129"/>
    <w:rsid w:val="00376DDD"/>
    <w:rsid w:val="003772C6"/>
    <w:rsid w:val="003773D4"/>
    <w:rsid w:val="0038179F"/>
    <w:rsid w:val="00381F64"/>
    <w:rsid w:val="00382446"/>
    <w:rsid w:val="00384972"/>
    <w:rsid w:val="003852D4"/>
    <w:rsid w:val="00386F92"/>
    <w:rsid w:val="00390182"/>
    <w:rsid w:val="003908F6"/>
    <w:rsid w:val="00392DD0"/>
    <w:rsid w:val="0039322E"/>
    <w:rsid w:val="00393CF0"/>
    <w:rsid w:val="00393E0A"/>
    <w:rsid w:val="00394B50"/>
    <w:rsid w:val="00395FFF"/>
    <w:rsid w:val="00396CF8"/>
    <w:rsid w:val="003A00C7"/>
    <w:rsid w:val="003A17AC"/>
    <w:rsid w:val="003A22DA"/>
    <w:rsid w:val="003A29FC"/>
    <w:rsid w:val="003A3E91"/>
    <w:rsid w:val="003A4484"/>
    <w:rsid w:val="003A5252"/>
    <w:rsid w:val="003A79F5"/>
    <w:rsid w:val="003B0BB6"/>
    <w:rsid w:val="003B0E35"/>
    <w:rsid w:val="003B2827"/>
    <w:rsid w:val="003B322B"/>
    <w:rsid w:val="003B4B09"/>
    <w:rsid w:val="003B4B97"/>
    <w:rsid w:val="003B4C28"/>
    <w:rsid w:val="003B4CDB"/>
    <w:rsid w:val="003B578F"/>
    <w:rsid w:val="003B5B2E"/>
    <w:rsid w:val="003B689A"/>
    <w:rsid w:val="003B6F06"/>
    <w:rsid w:val="003C0555"/>
    <w:rsid w:val="003C0CBE"/>
    <w:rsid w:val="003C0D61"/>
    <w:rsid w:val="003C148D"/>
    <w:rsid w:val="003C2171"/>
    <w:rsid w:val="003C289A"/>
    <w:rsid w:val="003C4115"/>
    <w:rsid w:val="003C4D3F"/>
    <w:rsid w:val="003C640D"/>
    <w:rsid w:val="003C6873"/>
    <w:rsid w:val="003D1B55"/>
    <w:rsid w:val="003D6C82"/>
    <w:rsid w:val="003D7F57"/>
    <w:rsid w:val="003E0A15"/>
    <w:rsid w:val="003E403D"/>
    <w:rsid w:val="003F1D1E"/>
    <w:rsid w:val="003F3433"/>
    <w:rsid w:val="003F3B76"/>
    <w:rsid w:val="003F4530"/>
    <w:rsid w:val="003F5534"/>
    <w:rsid w:val="003F6F9A"/>
    <w:rsid w:val="00402A8B"/>
    <w:rsid w:val="0040346C"/>
    <w:rsid w:val="00404174"/>
    <w:rsid w:val="00404C32"/>
    <w:rsid w:val="00405C4F"/>
    <w:rsid w:val="004066B9"/>
    <w:rsid w:val="00407D64"/>
    <w:rsid w:val="00413760"/>
    <w:rsid w:val="00415A8A"/>
    <w:rsid w:val="004160FD"/>
    <w:rsid w:val="00417DEF"/>
    <w:rsid w:val="00420DD8"/>
    <w:rsid w:val="004222A2"/>
    <w:rsid w:val="00422478"/>
    <w:rsid w:val="0042325A"/>
    <w:rsid w:val="004301CF"/>
    <w:rsid w:val="00430C75"/>
    <w:rsid w:val="0043161F"/>
    <w:rsid w:val="0043389B"/>
    <w:rsid w:val="004347F4"/>
    <w:rsid w:val="00435E1D"/>
    <w:rsid w:val="00437109"/>
    <w:rsid w:val="004371AC"/>
    <w:rsid w:val="00440DAC"/>
    <w:rsid w:val="00441255"/>
    <w:rsid w:val="004412B4"/>
    <w:rsid w:val="0044224D"/>
    <w:rsid w:val="00443794"/>
    <w:rsid w:val="00443F2A"/>
    <w:rsid w:val="0044441F"/>
    <w:rsid w:val="0044566D"/>
    <w:rsid w:val="004466D5"/>
    <w:rsid w:val="00447E44"/>
    <w:rsid w:val="004517F3"/>
    <w:rsid w:val="00453095"/>
    <w:rsid w:val="00453407"/>
    <w:rsid w:val="00453570"/>
    <w:rsid w:val="00454B17"/>
    <w:rsid w:val="004568C4"/>
    <w:rsid w:val="00456C18"/>
    <w:rsid w:val="00457B20"/>
    <w:rsid w:val="00460323"/>
    <w:rsid w:val="00460554"/>
    <w:rsid w:val="00461234"/>
    <w:rsid w:val="00461235"/>
    <w:rsid w:val="00462583"/>
    <w:rsid w:val="004656C5"/>
    <w:rsid w:val="004668DD"/>
    <w:rsid w:val="004672FC"/>
    <w:rsid w:val="00470345"/>
    <w:rsid w:val="004708E1"/>
    <w:rsid w:val="00475D83"/>
    <w:rsid w:val="00476B4D"/>
    <w:rsid w:val="004807FA"/>
    <w:rsid w:val="00481DDD"/>
    <w:rsid w:val="00482252"/>
    <w:rsid w:val="00483FE7"/>
    <w:rsid w:val="00484F64"/>
    <w:rsid w:val="00486001"/>
    <w:rsid w:val="00487A02"/>
    <w:rsid w:val="00490299"/>
    <w:rsid w:val="00493E4F"/>
    <w:rsid w:val="00494026"/>
    <w:rsid w:val="004957FF"/>
    <w:rsid w:val="00496049"/>
    <w:rsid w:val="00496B75"/>
    <w:rsid w:val="004A0224"/>
    <w:rsid w:val="004A0E09"/>
    <w:rsid w:val="004A0EAC"/>
    <w:rsid w:val="004A272B"/>
    <w:rsid w:val="004A57B8"/>
    <w:rsid w:val="004A6B19"/>
    <w:rsid w:val="004A6EEE"/>
    <w:rsid w:val="004A7E81"/>
    <w:rsid w:val="004B2147"/>
    <w:rsid w:val="004B352E"/>
    <w:rsid w:val="004B361E"/>
    <w:rsid w:val="004B39D4"/>
    <w:rsid w:val="004B4412"/>
    <w:rsid w:val="004B464C"/>
    <w:rsid w:val="004B4659"/>
    <w:rsid w:val="004B560F"/>
    <w:rsid w:val="004B56E4"/>
    <w:rsid w:val="004B66A4"/>
    <w:rsid w:val="004B7183"/>
    <w:rsid w:val="004B7E83"/>
    <w:rsid w:val="004C0433"/>
    <w:rsid w:val="004C0F9F"/>
    <w:rsid w:val="004C1947"/>
    <w:rsid w:val="004C324A"/>
    <w:rsid w:val="004C4967"/>
    <w:rsid w:val="004C6C80"/>
    <w:rsid w:val="004C7948"/>
    <w:rsid w:val="004D7AC2"/>
    <w:rsid w:val="004E0A5F"/>
    <w:rsid w:val="004E0FCC"/>
    <w:rsid w:val="004E2041"/>
    <w:rsid w:val="004E7FC2"/>
    <w:rsid w:val="004F3330"/>
    <w:rsid w:val="004F3493"/>
    <w:rsid w:val="004F3D9E"/>
    <w:rsid w:val="004F4561"/>
    <w:rsid w:val="004F4800"/>
    <w:rsid w:val="004F72AD"/>
    <w:rsid w:val="005026D0"/>
    <w:rsid w:val="00502DBD"/>
    <w:rsid w:val="005039A3"/>
    <w:rsid w:val="00504063"/>
    <w:rsid w:val="00504454"/>
    <w:rsid w:val="00504994"/>
    <w:rsid w:val="005061DC"/>
    <w:rsid w:val="00507908"/>
    <w:rsid w:val="005175B7"/>
    <w:rsid w:val="005200A9"/>
    <w:rsid w:val="00521308"/>
    <w:rsid w:val="005225F4"/>
    <w:rsid w:val="005234FB"/>
    <w:rsid w:val="005254EE"/>
    <w:rsid w:val="00525A8E"/>
    <w:rsid w:val="00526892"/>
    <w:rsid w:val="00526F24"/>
    <w:rsid w:val="00532E6E"/>
    <w:rsid w:val="00533B53"/>
    <w:rsid w:val="00533D80"/>
    <w:rsid w:val="005343ED"/>
    <w:rsid w:val="005353CC"/>
    <w:rsid w:val="005358E2"/>
    <w:rsid w:val="00536B77"/>
    <w:rsid w:val="00537C88"/>
    <w:rsid w:val="00540E5D"/>
    <w:rsid w:val="00540F49"/>
    <w:rsid w:val="005412DB"/>
    <w:rsid w:val="005428F4"/>
    <w:rsid w:val="00545512"/>
    <w:rsid w:val="00546F1D"/>
    <w:rsid w:val="005501DE"/>
    <w:rsid w:val="00550241"/>
    <w:rsid w:val="00551A59"/>
    <w:rsid w:val="00553165"/>
    <w:rsid w:val="005545AD"/>
    <w:rsid w:val="00554897"/>
    <w:rsid w:val="00555136"/>
    <w:rsid w:val="00555FBB"/>
    <w:rsid w:val="00557F0E"/>
    <w:rsid w:val="00560931"/>
    <w:rsid w:val="00561E82"/>
    <w:rsid w:val="00562A8B"/>
    <w:rsid w:val="005639EB"/>
    <w:rsid w:val="00564896"/>
    <w:rsid w:val="00565E3A"/>
    <w:rsid w:val="005668EF"/>
    <w:rsid w:val="005679CC"/>
    <w:rsid w:val="00567F75"/>
    <w:rsid w:val="00570849"/>
    <w:rsid w:val="005712C4"/>
    <w:rsid w:val="00574F97"/>
    <w:rsid w:val="00575716"/>
    <w:rsid w:val="0058000F"/>
    <w:rsid w:val="0058096A"/>
    <w:rsid w:val="00580BFC"/>
    <w:rsid w:val="00580FF0"/>
    <w:rsid w:val="005814F3"/>
    <w:rsid w:val="005820D9"/>
    <w:rsid w:val="00582591"/>
    <w:rsid w:val="005840C4"/>
    <w:rsid w:val="00584B87"/>
    <w:rsid w:val="00585F28"/>
    <w:rsid w:val="00586436"/>
    <w:rsid w:val="005874B5"/>
    <w:rsid w:val="00587C2B"/>
    <w:rsid w:val="00590A96"/>
    <w:rsid w:val="0059133F"/>
    <w:rsid w:val="00591410"/>
    <w:rsid w:val="0059454E"/>
    <w:rsid w:val="00597CA0"/>
    <w:rsid w:val="00597CAA"/>
    <w:rsid w:val="00597FF0"/>
    <w:rsid w:val="005A02A4"/>
    <w:rsid w:val="005A2862"/>
    <w:rsid w:val="005A324E"/>
    <w:rsid w:val="005A331F"/>
    <w:rsid w:val="005A4BCE"/>
    <w:rsid w:val="005A5B15"/>
    <w:rsid w:val="005A6477"/>
    <w:rsid w:val="005A77AD"/>
    <w:rsid w:val="005B276D"/>
    <w:rsid w:val="005B3124"/>
    <w:rsid w:val="005B322F"/>
    <w:rsid w:val="005B37C0"/>
    <w:rsid w:val="005B59C7"/>
    <w:rsid w:val="005B6037"/>
    <w:rsid w:val="005B7090"/>
    <w:rsid w:val="005C0153"/>
    <w:rsid w:val="005C2D1F"/>
    <w:rsid w:val="005C3254"/>
    <w:rsid w:val="005C3A26"/>
    <w:rsid w:val="005C3B65"/>
    <w:rsid w:val="005C40E7"/>
    <w:rsid w:val="005C5AF7"/>
    <w:rsid w:val="005C77CC"/>
    <w:rsid w:val="005D30EC"/>
    <w:rsid w:val="005D31CA"/>
    <w:rsid w:val="005D3619"/>
    <w:rsid w:val="005D4488"/>
    <w:rsid w:val="005D4892"/>
    <w:rsid w:val="005D4C36"/>
    <w:rsid w:val="005D50B5"/>
    <w:rsid w:val="005D512B"/>
    <w:rsid w:val="005D52FA"/>
    <w:rsid w:val="005D678E"/>
    <w:rsid w:val="005E0DD6"/>
    <w:rsid w:val="005E0F68"/>
    <w:rsid w:val="005E2906"/>
    <w:rsid w:val="005E59B2"/>
    <w:rsid w:val="005E6B17"/>
    <w:rsid w:val="005E6CD9"/>
    <w:rsid w:val="005E73CF"/>
    <w:rsid w:val="005E7D7C"/>
    <w:rsid w:val="005F0400"/>
    <w:rsid w:val="005F0CFA"/>
    <w:rsid w:val="005F2088"/>
    <w:rsid w:val="005F2480"/>
    <w:rsid w:val="005F3F1F"/>
    <w:rsid w:val="006001F1"/>
    <w:rsid w:val="006053F9"/>
    <w:rsid w:val="00605AA1"/>
    <w:rsid w:val="00610D05"/>
    <w:rsid w:val="00610DB8"/>
    <w:rsid w:val="0061319D"/>
    <w:rsid w:val="00616186"/>
    <w:rsid w:val="00621B79"/>
    <w:rsid w:val="00621BAF"/>
    <w:rsid w:val="00622216"/>
    <w:rsid w:val="006234A2"/>
    <w:rsid w:val="00624981"/>
    <w:rsid w:val="00624A34"/>
    <w:rsid w:val="00626016"/>
    <w:rsid w:val="006313E7"/>
    <w:rsid w:val="0063548D"/>
    <w:rsid w:val="006368E0"/>
    <w:rsid w:val="00637434"/>
    <w:rsid w:val="006408C7"/>
    <w:rsid w:val="00641487"/>
    <w:rsid w:val="00642EC9"/>
    <w:rsid w:val="006438F2"/>
    <w:rsid w:val="0064408F"/>
    <w:rsid w:val="00646DEB"/>
    <w:rsid w:val="00646F78"/>
    <w:rsid w:val="006478F1"/>
    <w:rsid w:val="00652143"/>
    <w:rsid w:val="0065298D"/>
    <w:rsid w:val="006536BE"/>
    <w:rsid w:val="00653B0C"/>
    <w:rsid w:val="006540FE"/>
    <w:rsid w:val="00655A34"/>
    <w:rsid w:val="006566C1"/>
    <w:rsid w:val="00656832"/>
    <w:rsid w:val="006577AF"/>
    <w:rsid w:val="0066003E"/>
    <w:rsid w:val="006625C5"/>
    <w:rsid w:val="006628AB"/>
    <w:rsid w:val="00667402"/>
    <w:rsid w:val="00667BBC"/>
    <w:rsid w:val="0067338D"/>
    <w:rsid w:val="00673879"/>
    <w:rsid w:val="006739BD"/>
    <w:rsid w:val="0067598D"/>
    <w:rsid w:val="00676A21"/>
    <w:rsid w:val="006805B5"/>
    <w:rsid w:val="0068225F"/>
    <w:rsid w:val="00683E2F"/>
    <w:rsid w:val="00684607"/>
    <w:rsid w:val="00684EF8"/>
    <w:rsid w:val="006901B9"/>
    <w:rsid w:val="0069240A"/>
    <w:rsid w:val="00692A31"/>
    <w:rsid w:val="00693F0B"/>
    <w:rsid w:val="006946D7"/>
    <w:rsid w:val="00694E06"/>
    <w:rsid w:val="0069536A"/>
    <w:rsid w:val="006A61C9"/>
    <w:rsid w:val="006A771F"/>
    <w:rsid w:val="006A77A7"/>
    <w:rsid w:val="006A7B13"/>
    <w:rsid w:val="006B0368"/>
    <w:rsid w:val="006B0C2F"/>
    <w:rsid w:val="006B193E"/>
    <w:rsid w:val="006B5B1C"/>
    <w:rsid w:val="006B5F41"/>
    <w:rsid w:val="006B6CF6"/>
    <w:rsid w:val="006B7754"/>
    <w:rsid w:val="006C0CF2"/>
    <w:rsid w:val="006C1D4A"/>
    <w:rsid w:val="006C26D1"/>
    <w:rsid w:val="006C304E"/>
    <w:rsid w:val="006C6B32"/>
    <w:rsid w:val="006D0053"/>
    <w:rsid w:val="006D073F"/>
    <w:rsid w:val="006D224A"/>
    <w:rsid w:val="006D440E"/>
    <w:rsid w:val="006D543E"/>
    <w:rsid w:val="006D59C9"/>
    <w:rsid w:val="006D61AF"/>
    <w:rsid w:val="006E03F8"/>
    <w:rsid w:val="006E2147"/>
    <w:rsid w:val="006F0A9E"/>
    <w:rsid w:val="006F0D00"/>
    <w:rsid w:val="006F1015"/>
    <w:rsid w:val="006F566D"/>
    <w:rsid w:val="006F7587"/>
    <w:rsid w:val="00700613"/>
    <w:rsid w:val="00701FE5"/>
    <w:rsid w:val="007024FC"/>
    <w:rsid w:val="00702B71"/>
    <w:rsid w:val="00703A9D"/>
    <w:rsid w:val="007046FA"/>
    <w:rsid w:val="007062AB"/>
    <w:rsid w:val="0072102D"/>
    <w:rsid w:val="0072419D"/>
    <w:rsid w:val="00724209"/>
    <w:rsid w:val="00724F0E"/>
    <w:rsid w:val="00727E5E"/>
    <w:rsid w:val="00732371"/>
    <w:rsid w:val="0073240A"/>
    <w:rsid w:val="00736FDE"/>
    <w:rsid w:val="007377F9"/>
    <w:rsid w:val="007408D5"/>
    <w:rsid w:val="0074106F"/>
    <w:rsid w:val="00750B8D"/>
    <w:rsid w:val="007567B0"/>
    <w:rsid w:val="0076162C"/>
    <w:rsid w:val="00762B48"/>
    <w:rsid w:val="00763724"/>
    <w:rsid w:val="00764C8A"/>
    <w:rsid w:val="00765A5B"/>
    <w:rsid w:val="007701AD"/>
    <w:rsid w:val="00772FAC"/>
    <w:rsid w:val="00773AC5"/>
    <w:rsid w:val="007778D7"/>
    <w:rsid w:val="0078172B"/>
    <w:rsid w:val="00783335"/>
    <w:rsid w:val="00783619"/>
    <w:rsid w:val="00783D07"/>
    <w:rsid w:val="00784471"/>
    <w:rsid w:val="00785AF6"/>
    <w:rsid w:val="0078680A"/>
    <w:rsid w:val="0078749D"/>
    <w:rsid w:val="00790A1D"/>
    <w:rsid w:val="00793167"/>
    <w:rsid w:val="00793A8F"/>
    <w:rsid w:val="007949EB"/>
    <w:rsid w:val="00794ED5"/>
    <w:rsid w:val="00794FFA"/>
    <w:rsid w:val="007A0288"/>
    <w:rsid w:val="007A1579"/>
    <w:rsid w:val="007A2121"/>
    <w:rsid w:val="007A2E9C"/>
    <w:rsid w:val="007A4328"/>
    <w:rsid w:val="007A5122"/>
    <w:rsid w:val="007A5997"/>
    <w:rsid w:val="007B2773"/>
    <w:rsid w:val="007B2A59"/>
    <w:rsid w:val="007B4223"/>
    <w:rsid w:val="007B483A"/>
    <w:rsid w:val="007B4E8E"/>
    <w:rsid w:val="007C25ED"/>
    <w:rsid w:val="007C41A5"/>
    <w:rsid w:val="007C58A3"/>
    <w:rsid w:val="007C5974"/>
    <w:rsid w:val="007C6A6C"/>
    <w:rsid w:val="007C6E97"/>
    <w:rsid w:val="007D0204"/>
    <w:rsid w:val="007D3469"/>
    <w:rsid w:val="007D382A"/>
    <w:rsid w:val="007D4D88"/>
    <w:rsid w:val="007D54F1"/>
    <w:rsid w:val="007D666D"/>
    <w:rsid w:val="007E0D5F"/>
    <w:rsid w:val="007E19CF"/>
    <w:rsid w:val="007E1FE2"/>
    <w:rsid w:val="007E211B"/>
    <w:rsid w:val="007E2AC8"/>
    <w:rsid w:val="007E3D32"/>
    <w:rsid w:val="007E40D7"/>
    <w:rsid w:val="007E5B9F"/>
    <w:rsid w:val="007E683D"/>
    <w:rsid w:val="007E7637"/>
    <w:rsid w:val="007F014E"/>
    <w:rsid w:val="007F13DC"/>
    <w:rsid w:val="00801A3B"/>
    <w:rsid w:val="00801C0F"/>
    <w:rsid w:val="008031AC"/>
    <w:rsid w:val="00805287"/>
    <w:rsid w:val="008125D5"/>
    <w:rsid w:val="008143CC"/>
    <w:rsid w:val="00814424"/>
    <w:rsid w:val="008211CE"/>
    <w:rsid w:val="0082176F"/>
    <w:rsid w:val="008231A5"/>
    <w:rsid w:val="0082566A"/>
    <w:rsid w:val="00826032"/>
    <w:rsid w:val="0082752A"/>
    <w:rsid w:val="00830163"/>
    <w:rsid w:val="0083074E"/>
    <w:rsid w:val="008308F6"/>
    <w:rsid w:val="008316E0"/>
    <w:rsid w:val="008322BE"/>
    <w:rsid w:val="008333E9"/>
    <w:rsid w:val="00833C77"/>
    <w:rsid w:val="0083539B"/>
    <w:rsid w:val="00835FB1"/>
    <w:rsid w:val="00836506"/>
    <w:rsid w:val="00842A11"/>
    <w:rsid w:val="0084545F"/>
    <w:rsid w:val="0084761C"/>
    <w:rsid w:val="0085100B"/>
    <w:rsid w:val="008519B7"/>
    <w:rsid w:val="00851DD6"/>
    <w:rsid w:val="0085372C"/>
    <w:rsid w:val="00853D0D"/>
    <w:rsid w:val="008549B3"/>
    <w:rsid w:val="00854B26"/>
    <w:rsid w:val="008560B3"/>
    <w:rsid w:val="00856A60"/>
    <w:rsid w:val="00862236"/>
    <w:rsid w:val="00863532"/>
    <w:rsid w:val="00863DB5"/>
    <w:rsid w:val="00863F5F"/>
    <w:rsid w:val="00865D2D"/>
    <w:rsid w:val="00866D92"/>
    <w:rsid w:val="0086781E"/>
    <w:rsid w:val="0087033D"/>
    <w:rsid w:val="00870CA1"/>
    <w:rsid w:val="008718F9"/>
    <w:rsid w:val="008729B5"/>
    <w:rsid w:val="008729E3"/>
    <w:rsid w:val="00874665"/>
    <w:rsid w:val="00875762"/>
    <w:rsid w:val="008759B5"/>
    <w:rsid w:val="0088044C"/>
    <w:rsid w:val="00880B77"/>
    <w:rsid w:val="00882F94"/>
    <w:rsid w:val="00883ADF"/>
    <w:rsid w:val="00885475"/>
    <w:rsid w:val="00885604"/>
    <w:rsid w:val="00887913"/>
    <w:rsid w:val="00894F74"/>
    <w:rsid w:val="00895448"/>
    <w:rsid w:val="00896E1F"/>
    <w:rsid w:val="008A03BF"/>
    <w:rsid w:val="008A099F"/>
    <w:rsid w:val="008A2EC0"/>
    <w:rsid w:val="008A6302"/>
    <w:rsid w:val="008B2FC8"/>
    <w:rsid w:val="008B315D"/>
    <w:rsid w:val="008B3780"/>
    <w:rsid w:val="008B3F3F"/>
    <w:rsid w:val="008B451B"/>
    <w:rsid w:val="008B4BE4"/>
    <w:rsid w:val="008C4746"/>
    <w:rsid w:val="008C68CE"/>
    <w:rsid w:val="008C760B"/>
    <w:rsid w:val="008D3AF0"/>
    <w:rsid w:val="008E0E21"/>
    <w:rsid w:val="008E0EA9"/>
    <w:rsid w:val="008E33C0"/>
    <w:rsid w:val="008E3760"/>
    <w:rsid w:val="008E41AE"/>
    <w:rsid w:val="008E41F9"/>
    <w:rsid w:val="008E6C32"/>
    <w:rsid w:val="008E7C65"/>
    <w:rsid w:val="008F1756"/>
    <w:rsid w:val="008F3411"/>
    <w:rsid w:val="008F4D98"/>
    <w:rsid w:val="008F5ECC"/>
    <w:rsid w:val="0090032E"/>
    <w:rsid w:val="00901D89"/>
    <w:rsid w:val="00905E8B"/>
    <w:rsid w:val="00906E30"/>
    <w:rsid w:val="0091091D"/>
    <w:rsid w:val="00913F00"/>
    <w:rsid w:val="00916810"/>
    <w:rsid w:val="00916AAC"/>
    <w:rsid w:val="00920F6C"/>
    <w:rsid w:val="00922D92"/>
    <w:rsid w:val="009238FE"/>
    <w:rsid w:val="009244E4"/>
    <w:rsid w:val="00925F32"/>
    <w:rsid w:val="00931A12"/>
    <w:rsid w:val="009324B3"/>
    <w:rsid w:val="00932F54"/>
    <w:rsid w:val="0093304C"/>
    <w:rsid w:val="009331A2"/>
    <w:rsid w:val="00934174"/>
    <w:rsid w:val="00935B16"/>
    <w:rsid w:val="00935EEC"/>
    <w:rsid w:val="00936A0F"/>
    <w:rsid w:val="00937F3C"/>
    <w:rsid w:val="009407D2"/>
    <w:rsid w:val="0094364A"/>
    <w:rsid w:val="009449F9"/>
    <w:rsid w:val="00946926"/>
    <w:rsid w:val="00950BC0"/>
    <w:rsid w:val="009518C0"/>
    <w:rsid w:val="00952D40"/>
    <w:rsid w:val="00954996"/>
    <w:rsid w:val="0095506B"/>
    <w:rsid w:val="009579B7"/>
    <w:rsid w:val="00960713"/>
    <w:rsid w:val="009629E8"/>
    <w:rsid w:val="0096351C"/>
    <w:rsid w:val="00965817"/>
    <w:rsid w:val="009662A4"/>
    <w:rsid w:val="00967452"/>
    <w:rsid w:val="0097063F"/>
    <w:rsid w:val="009711FB"/>
    <w:rsid w:val="009726F5"/>
    <w:rsid w:val="009743AE"/>
    <w:rsid w:val="00974A58"/>
    <w:rsid w:val="009750BB"/>
    <w:rsid w:val="00975A34"/>
    <w:rsid w:val="00977697"/>
    <w:rsid w:val="009777D0"/>
    <w:rsid w:val="00977965"/>
    <w:rsid w:val="009805C9"/>
    <w:rsid w:val="009817D6"/>
    <w:rsid w:val="00983303"/>
    <w:rsid w:val="00983A10"/>
    <w:rsid w:val="009856C2"/>
    <w:rsid w:val="009857E0"/>
    <w:rsid w:val="009860E8"/>
    <w:rsid w:val="009861F5"/>
    <w:rsid w:val="00992DC2"/>
    <w:rsid w:val="00993BFA"/>
    <w:rsid w:val="00993EC4"/>
    <w:rsid w:val="00996105"/>
    <w:rsid w:val="009966A3"/>
    <w:rsid w:val="009A03C9"/>
    <w:rsid w:val="009A11B5"/>
    <w:rsid w:val="009A19CB"/>
    <w:rsid w:val="009A2A93"/>
    <w:rsid w:val="009A57BF"/>
    <w:rsid w:val="009A6406"/>
    <w:rsid w:val="009A646E"/>
    <w:rsid w:val="009B380B"/>
    <w:rsid w:val="009B4299"/>
    <w:rsid w:val="009B590B"/>
    <w:rsid w:val="009B5C7E"/>
    <w:rsid w:val="009C2985"/>
    <w:rsid w:val="009C2DF7"/>
    <w:rsid w:val="009C382B"/>
    <w:rsid w:val="009C6153"/>
    <w:rsid w:val="009C63C4"/>
    <w:rsid w:val="009C6EC5"/>
    <w:rsid w:val="009C7B48"/>
    <w:rsid w:val="009D042E"/>
    <w:rsid w:val="009D20F7"/>
    <w:rsid w:val="009D30F8"/>
    <w:rsid w:val="009D4EC2"/>
    <w:rsid w:val="009D543D"/>
    <w:rsid w:val="009D6BBF"/>
    <w:rsid w:val="009E04F3"/>
    <w:rsid w:val="009E0A8D"/>
    <w:rsid w:val="009E3780"/>
    <w:rsid w:val="009E49D7"/>
    <w:rsid w:val="009E6169"/>
    <w:rsid w:val="009E7651"/>
    <w:rsid w:val="009F401A"/>
    <w:rsid w:val="009F4735"/>
    <w:rsid w:val="009F4C77"/>
    <w:rsid w:val="009F4FE1"/>
    <w:rsid w:val="009F513A"/>
    <w:rsid w:val="009F76E0"/>
    <w:rsid w:val="00A00986"/>
    <w:rsid w:val="00A00DC2"/>
    <w:rsid w:val="00A01A3C"/>
    <w:rsid w:val="00A046AF"/>
    <w:rsid w:val="00A05509"/>
    <w:rsid w:val="00A065C2"/>
    <w:rsid w:val="00A07A47"/>
    <w:rsid w:val="00A13AE7"/>
    <w:rsid w:val="00A16CCE"/>
    <w:rsid w:val="00A1703A"/>
    <w:rsid w:val="00A1722E"/>
    <w:rsid w:val="00A2134C"/>
    <w:rsid w:val="00A23E0F"/>
    <w:rsid w:val="00A26ADD"/>
    <w:rsid w:val="00A26EF8"/>
    <w:rsid w:val="00A30196"/>
    <w:rsid w:val="00A330B1"/>
    <w:rsid w:val="00A34A84"/>
    <w:rsid w:val="00A354F3"/>
    <w:rsid w:val="00A403A9"/>
    <w:rsid w:val="00A409EE"/>
    <w:rsid w:val="00A4134F"/>
    <w:rsid w:val="00A41FE6"/>
    <w:rsid w:val="00A449C1"/>
    <w:rsid w:val="00A44EB1"/>
    <w:rsid w:val="00A47287"/>
    <w:rsid w:val="00A5154A"/>
    <w:rsid w:val="00A5214A"/>
    <w:rsid w:val="00A52F1E"/>
    <w:rsid w:val="00A53572"/>
    <w:rsid w:val="00A54403"/>
    <w:rsid w:val="00A56487"/>
    <w:rsid w:val="00A5683A"/>
    <w:rsid w:val="00A56A8F"/>
    <w:rsid w:val="00A6158A"/>
    <w:rsid w:val="00A61B7D"/>
    <w:rsid w:val="00A63432"/>
    <w:rsid w:val="00A645F6"/>
    <w:rsid w:val="00A64755"/>
    <w:rsid w:val="00A64B14"/>
    <w:rsid w:val="00A6580F"/>
    <w:rsid w:val="00A66393"/>
    <w:rsid w:val="00A671F8"/>
    <w:rsid w:val="00A706E3"/>
    <w:rsid w:val="00A71981"/>
    <w:rsid w:val="00A7263F"/>
    <w:rsid w:val="00A726C0"/>
    <w:rsid w:val="00A72F84"/>
    <w:rsid w:val="00A75695"/>
    <w:rsid w:val="00A75F5C"/>
    <w:rsid w:val="00A7725A"/>
    <w:rsid w:val="00A77502"/>
    <w:rsid w:val="00A802B9"/>
    <w:rsid w:val="00A80539"/>
    <w:rsid w:val="00A80EF7"/>
    <w:rsid w:val="00A83F35"/>
    <w:rsid w:val="00A8447B"/>
    <w:rsid w:val="00A86383"/>
    <w:rsid w:val="00A874B6"/>
    <w:rsid w:val="00A9016F"/>
    <w:rsid w:val="00A90996"/>
    <w:rsid w:val="00A9321C"/>
    <w:rsid w:val="00A94AFB"/>
    <w:rsid w:val="00A955CC"/>
    <w:rsid w:val="00A95DE7"/>
    <w:rsid w:val="00A96418"/>
    <w:rsid w:val="00A96B64"/>
    <w:rsid w:val="00AA050E"/>
    <w:rsid w:val="00AA10CF"/>
    <w:rsid w:val="00AA22C9"/>
    <w:rsid w:val="00AA26F6"/>
    <w:rsid w:val="00AA38FB"/>
    <w:rsid w:val="00AA3E56"/>
    <w:rsid w:val="00AA3F68"/>
    <w:rsid w:val="00AA4950"/>
    <w:rsid w:val="00AA6494"/>
    <w:rsid w:val="00AA6CCF"/>
    <w:rsid w:val="00AB0DC1"/>
    <w:rsid w:val="00AB1F1A"/>
    <w:rsid w:val="00AB251A"/>
    <w:rsid w:val="00AB350F"/>
    <w:rsid w:val="00AB44AC"/>
    <w:rsid w:val="00AB72EB"/>
    <w:rsid w:val="00AB7489"/>
    <w:rsid w:val="00AC2B67"/>
    <w:rsid w:val="00AC446B"/>
    <w:rsid w:val="00AC5220"/>
    <w:rsid w:val="00AC5C6C"/>
    <w:rsid w:val="00AC6AF1"/>
    <w:rsid w:val="00AD0791"/>
    <w:rsid w:val="00AD0B10"/>
    <w:rsid w:val="00AD2148"/>
    <w:rsid w:val="00AD3F14"/>
    <w:rsid w:val="00AD740D"/>
    <w:rsid w:val="00AE0554"/>
    <w:rsid w:val="00AE3446"/>
    <w:rsid w:val="00AE3738"/>
    <w:rsid w:val="00AE38FE"/>
    <w:rsid w:val="00AE3FD5"/>
    <w:rsid w:val="00AE4281"/>
    <w:rsid w:val="00AE5B76"/>
    <w:rsid w:val="00AE6830"/>
    <w:rsid w:val="00AE6E47"/>
    <w:rsid w:val="00AE727F"/>
    <w:rsid w:val="00AF0ACE"/>
    <w:rsid w:val="00AF1E8F"/>
    <w:rsid w:val="00AF2626"/>
    <w:rsid w:val="00AF3DBE"/>
    <w:rsid w:val="00AF4DF5"/>
    <w:rsid w:val="00AF6507"/>
    <w:rsid w:val="00B00C70"/>
    <w:rsid w:val="00B03339"/>
    <w:rsid w:val="00B03EB8"/>
    <w:rsid w:val="00B0570A"/>
    <w:rsid w:val="00B06695"/>
    <w:rsid w:val="00B11555"/>
    <w:rsid w:val="00B12504"/>
    <w:rsid w:val="00B163EC"/>
    <w:rsid w:val="00B16804"/>
    <w:rsid w:val="00B16EDF"/>
    <w:rsid w:val="00B2177A"/>
    <w:rsid w:val="00B220A5"/>
    <w:rsid w:val="00B220B9"/>
    <w:rsid w:val="00B2265D"/>
    <w:rsid w:val="00B244AD"/>
    <w:rsid w:val="00B24B00"/>
    <w:rsid w:val="00B26338"/>
    <w:rsid w:val="00B30712"/>
    <w:rsid w:val="00B317F7"/>
    <w:rsid w:val="00B3384B"/>
    <w:rsid w:val="00B35F73"/>
    <w:rsid w:val="00B36D83"/>
    <w:rsid w:val="00B3782F"/>
    <w:rsid w:val="00B403D5"/>
    <w:rsid w:val="00B406FF"/>
    <w:rsid w:val="00B41EE0"/>
    <w:rsid w:val="00B45987"/>
    <w:rsid w:val="00B47370"/>
    <w:rsid w:val="00B47788"/>
    <w:rsid w:val="00B47CFE"/>
    <w:rsid w:val="00B508CD"/>
    <w:rsid w:val="00B54984"/>
    <w:rsid w:val="00B6119C"/>
    <w:rsid w:val="00B617B7"/>
    <w:rsid w:val="00B63A0C"/>
    <w:rsid w:val="00B65359"/>
    <w:rsid w:val="00B67E1D"/>
    <w:rsid w:val="00B701F0"/>
    <w:rsid w:val="00B7202F"/>
    <w:rsid w:val="00B73C38"/>
    <w:rsid w:val="00B74F2F"/>
    <w:rsid w:val="00B7526D"/>
    <w:rsid w:val="00B770D4"/>
    <w:rsid w:val="00B77AF1"/>
    <w:rsid w:val="00B81C34"/>
    <w:rsid w:val="00B8291A"/>
    <w:rsid w:val="00B832EA"/>
    <w:rsid w:val="00B834FF"/>
    <w:rsid w:val="00B83782"/>
    <w:rsid w:val="00B84070"/>
    <w:rsid w:val="00B84219"/>
    <w:rsid w:val="00B865A9"/>
    <w:rsid w:val="00B86B2E"/>
    <w:rsid w:val="00B87C61"/>
    <w:rsid w:val="00B9103B"/>
    <w:rsid w:val="00B93274"/>
    <w:rsid w:val="00B93A57"/>
    <w:rsid w:val="00B9553C"/>
    <w:rsid w:val="00B960D7"/>
    <w:rsid w:val="00B962C0"/>
    <w:rsid w:val="00B96B63"/>
    <w:rsid w:val="00B974CF"/>
    <w:rsid w:val="00B978A1"/>
    <w:rsid w:val="00BA212E"/>
    <w:rsid w:val="00BA3262"/>
    <w:rsid w:val="00BA35DA"/>
    <w:rsid w:val="00BA4224"/>
    <w:rsid w:val="00BA440E"/>
    <w:rsid w:val="00BA5267"/>
    <w:rsid w:val="00BB0E94"/>
    <w:rsid w:val="00BB133E"/>
    <w:rsid w:val="00BB1A68"/>
    <w:rsid w:val="00BB5791"/>
    <w:rsid w:val="00BB6092"/>
    <w:rsid w:val="00BC0744"/>
    <w:rsid w:val="00BC0858"/>
    <w:rsid w:val="00BC0D6C"/>
    <w:rsid w:val="00BC13D2"/>
    <w:rsid w:val="00BC3491"/>
    <w:rsid w:val="00BC36C4"/>
    <w:rsid w:val="00BC3E80"/>
    <w:rsid w:val="00BC672B"/>
    <w:rsid w:val="00BC6C23"/>
    <w:rsid w:val="00BC78C7"/>
    <w:rsid w:val="00BC7F1F"/>
    <w:rsid w:val="00BD2DB7"/>
    <w:rsid w:val="00BD7BC6"/>
    <w:rsid w:val="00BE130B"/>
    <w:rsid w:val="00BE24CF"/>
    <w:rsid w:val="00BE2B94"/>
    <w:rsid w:val="00BE5ED9"/>
    <w:rsid w:val="00BE6BDE"/>
    <w:rsid w:val="00BF34A7"/>
    <w:rsid w:val="00BF3A4E"/>
    <w:rsid w:val="00BF4202"/>
    <w:rsid w:val="00BF6B6E"/>
    <w:rsid w:val="00C004A3"/>
    <w:rsid w:val="00C027E4"/>
    <w:rsid w:val="00C02C95"/>
    <w:rsid w:val="00C04301"/>
    <w:rsid w:val="00C04FFC"/>
    <w:rsid w:val="00C06946"/>
    <w:rsid w:val="00C115AC"/>
    <w:rsid w:val="00C12230"/>
    <w:rsid w:val="00C15CA8"/>
    <w:rsid w:val="00C21A19"/>
    <w:rsid w:val="00C24179"/>
    <w:rsid w:val="00C2567A"/>
    <w:rsid w:val="00C2759A"/>
    <w:rsid w:val="00C31F34"/>
    <w:rsid w:val="00C32193"/>
    <w:rsid w:val="00C362F8"/>
    <w:rsid w:val="00C37F86"/>
    <w:rsid w:val="00C41F6D"/>
    <w:rsid w:val="00C4223B"/>
    <w:rsid w:val="00C44E03"/>
    <w:rsid w:val="00C452A8"/>
    <w:rsid w:val="00C46DFD"/>
    <w:rsid w:val="00C474CB"/>
    <w:rsid w:val="00C47CB6"/>
    <w:rsid w:val="00C52C98"/>
    <w:rsid w:val="00C548BC"/>
    <w:rsid w:val="00C6021C"/>
    <w:rsid w:val="00C6115E"/>
    <w:rsid w:val="00C620A5"/>
    <w:rsid w:val="00C62591"/>
    <w:rsid w:val="00C649B9"/>
    <w:rsid w:val="00C71112"/>
    <w:rsid w:val="00C71532"/>
    <w:rsid w:val="00C71A7D"/>
    <w:rsid w:val="00C72C66"/>
    <w:rsid w:val="00C755DB"/>
    <w:rsid w:val="00C76379"/>
    <w:rsid w:val="00C76E3B"/>
    <w:rsid w:val="00C778C0"/>
    <w:rsid w:val="00C84FDB"/>
    <w:rsid w:val="00C85FF8"/>
    <w:rsid w:val="00C86992"/>
    <w:rsid w:val="00C87F55"/>
    <w:rsid w:val="00C90A23"/>
    <w:rsid w:val="00C924FA"/>
    <w:rsid w:val="00C93EDD"/>
    <w:rsid w:val="00C93FDA"/>
    <w:rsid w:val="00C96458"/>
    <w:rsid w:val="00CA4FFD"/>
    <w:rsid w:val="00CA60C9"/>
    <w:rsid w:val="00CA64D4"/>
    <w:rsid w:val="00CB00C8"/>
    <w:rsid w:val="00CB0396"/>
    <w:rsid w:val="00CB33B2"/>
    <w:rsid w:val="00CB4585"/>
    <w:rsid w:val="00CB66B1"/>
    <w:rsid w:val="00CB72AB"/>
    <w:rsid w:val="00CB7CEB"/>
    <w:rsid w:val="00CC0D48"/>
    <w:rsid w:val="00CC146C"/>
    <w:rsid w:val="00CC3187"/>
    <w:rsid w:val="00CC55FC"/>
    <w:rsid w:val="00CD1827"/>
    <w:rsid w:val="00CD2369"/>
    <w:rsid w:val="00CD3994"/>
    <w:rsid w:val="00CD4636"/>
    <w:rsid w:val="00CD6A57"/>
    <w:rsid w:val="00CE1A3D"/>
    <w:rsid w:val="00CE3107"/>
    <w:rsid w:val="00CE3B67"/>
    <w:rsid w:val="00CE589B"/>
    <w:rsid w:val="00CE5DB7"/>
    <w:rsid w:val="00CF02FA"/>
    <w:rsid w:val="00CF1C02"/>
    <w:rsid w:val="00CF2633"/>
    <w:rsid w:val="00CF4607"/>
    <w:rsid w:val="00CF4FBB"/>
    <w:rsid w:val="00CF602D"/>
    <w:rsid w:val="00CF61F1"/>
    <w:rsid w:val="00CF6244"/>
    <w:rsid w:val="00CF7399"/>
    <w:rsid w:val="00CF7E84"/>
    <w:rsid w:val="00D00724"/>
    <w:rsid w:val="00D008F8"/>
    <w:rsid w:val="00D03DCC"/>
    <w:rsid w:val="00D03F97"/>
    <w:rsid w:val="00D054B4"/>
    <w:rsid w:val="00D05F84"/>
    <w:rsid w:val="00D06110"/>
    <w:rsid w:val="00D11ED2"/>
    <w:rsid w:val="00D12467"/>
    <w:rsid w:val="00D124E9"/>
    <w:rsid w:val="00D13AA1"/>
    <w:rsid w:val="00D152D2"/>
    <w:rsid w:val="00D163D1"/>
    <w:rsid w:val="00D209AD"/>
    <w:rsid w:val="00D22B56"/>
    <w:rsid w:val="00D23A5D"/>
    <w:rsid w:val="00D25C42"/>
    <w:rsid w:val="00D26F22"/>
    <w:rsid w:val="00D27946"/>
    <w:rsid w:val="00D27999"/>
    <w:rsid w:val="00D31562"/>
    <w:rsid w:val="00D33182"/>
    <w:rsid w:val="00D37D2B"/>
    <w:rsid w:val="00D40C5F"/>
    <w:rsid w:val="00D42EEA"/>
    <w:rsid w:val="00D50CD4"/>
    <w:rsid w:val="00D526D0"/>
    <w:rsid w:val="00D5506A"/>
    <w:rsid w:val="00D55B75"/>
    <w:rsid w:val="00D60B08"/>
    <w:rsid w:val="00D612BE"/>
    <w:rsid w:val="00D654CD"/>
    <w:rsid w:val="00D706C9"/>
    <w:rsid w:val="00D71312"/>
    <w:rsid w:val="00D73145"/>
    <w:rsid w:val="00D769C6"/>
    <w:rsid w:val="00D76FDF"/>
    <w:rsid w:val="00D80900"/>
    <w:rsid w:val="00D82537"/>
    <w:rsid w:val="00D828A8"/>
    <w:rsid w:val="00D82F00"/>
    <w:rsid w:val="00D83F00"/>
    <w:rsid w:val="00D852C2"/>
    <w:rsid w:val="00D85687"/>
    <w:rsid w:val="00D86A54"/>
    <w:rsid w:val="00D905FC"/>
    <w:rsid w:val="00D90DEE"/>
    <w:rsid w:val="00D92915"/>
    <w:rsid w:val="00D94128"/>
    <w:rsid w:val="00D96261"/>
    <w:rsid w:val="00D975F7"/>
    <w:rsid w:val="00DA0555"/>
    <w:rsid w:val="00DA20E7"/>
    <w:rsid w:val="00DA3AF1"/>
    <w:rsid w:val="00DA78DF"/>
    <w:rsid w:val="00DB0C7E"/>
    <w:rsid w:val="00DB0FCF"/>
    <w:rsid w:val="00DB26D5"/>
    <w:rsid w:val="00DB3CA3"/>
    <w:rsid w:val="00DB4AA3"/>
    <w:rsid w:val="00DB5EB8"/>
    <w:rsid w:val="00DB795E"/>
    <w:rsid w:val="00DC40F8"/>
    <w:rsid w:val="00DD04EF"/>
    <w:rsid w:val="00DD0845"/>
    <w:rsid w:val="00DD0C35"/>
    <w:rsid w:val="00DD1966"/>
    <w:rsid w:val="00DD749D"/>
    <w:rsid w:val="00DE3009"/>
    <w:rsid w:val="00DE3DF9"/>
    <w:rsid w:val="00DE5A69"/>
    <w:rsid w:val="00DE5B39"/>
    <w:rsid w:val="00DE6DE5"/>
    <w:rsid w:val="00DE7AA0"/>
    <w:rsid w:val="00DF3406"/>
    <w:rsid w:val="00DF3B58"/>
    <w:rsid w:val="00E002AC"/>
    <w:rsid w:val="00E0111E"/>
    <w:rsid w:val="00E0167E"/>
    <w:rsid w:val="00E0183D"/>
    <w:rsid w:val="00E044FD"/>
    <w:rsid w:val="00E05818"/>
    <w:rsid w:val="00E05EDC"/>
    <w:rsid w:val="00E07E1E"/>
    <w:rsid w:val="00E10058"/>
    <w:rsid w:val="00E1104B"/>
    <w:rsid w:val="00E14A90"/>
    <w:rsid w:val="00E16FDB"/>
    <w:rsid w:val="00E2397E"/>
    <w:rsid w:val="00E24E40"/>
    <w:rsid w:val="00E25A98"/>
    <w:rsid w:val="00E26B61"/>
    <w:rsid w:val="00E27226"/>
    <w:rsid w:val="00E300A4"/>
    <w:rsid w:val="00E31653"/>
    <w:rsid w:val="00E3267D"/>
    <w:rsid w:val="00E32AED"/>
    <w:rsid w:val="00E32C84"/>
    <w:rsid w:val="00E334A9"/>
    <w:rsid w:val="00E334DF"/>
    <w:rsid w:val="00E347CC"/>
    <w:rsid w:val="00E35D69"/>
    <w:rsid w:val="00E4218B"/>
    <w:rsid w:val="00E44B1F"/>
    <w:rsid w:val="00E45BD4"/>
    <w:rsid w:val="00E5181F"/>
    <w:rsid w:val="00E52302"/>
    <w:rsid w:val="00E5785E"/>
    <w:rsid w:val="00E60432"/>
    <w:rsid w:val="00E61049"/>
    <w:rsid w:val="00E61781"/>
    <w:rsid w:val="00E62385"/>
    <w:rsid w:val="00E668C2"/>
    <w:rsid w:val="00E66BB2"/>
    <w:rsid w:val="00E66F72"/>
    <w:rsid w:val="00E7067F"/>
    <w:rsid w:val="00E71064"/>
    <w:rsid w:val="00E71D4C"/>
    <w:rsid w:val="00E745F1"/>
    <w:rsid w:val="00E77719"/>
    <w:rsid w:val="00E77ED9"/>
    <w:rsid w:val="00E8191D"/>
    <w:rsid w:val="00E8301D"/>
    <w:rsid w:val="00E85725"/>
    <w:rsid w:val="00E87EDB"/>
    <w:rsid w:val="00E901EB"/>
    <w:rsid w:val="00E911F4"/>
    <w:rsid w:val="00E93326"/>
    <w:rsid w:val="00E949BC"/>
    <w:rsid w:val="00E94BF3"/>
    <w:rsid w:val="00E97D5E"/>
    <w:rsid w:val="00EA094E"/>
    <w:rsid w:val="00EA0C71"/>
    <w:rsid w:val="00EA1BE7"/>
    <w:rsid w:val="00EA1C2B"/>
    <w:rsid w:val="00EA1E0E"/>
    <w:rsid w:val="00EA2937"/>
    <w:rsid w:val="00EA3A9F"/>
    <w:rsid w:val="00EA6E41"/>
    <w:rsid w:val="00EB0EDF"/>
    <w:rsid w:val="00EB21DB"/>
    <w:rsid w:val="00EB2B64"/>
    <w:rsid w:val="00EB2C2A"/>
    <w:rsid w:val="00EB42A7"/>
    <w:rsid w:val="00EB461D"/>
    <w:rsid w:val="00EB52A9"/>
    <w:rsid w:val="00EB60A9"/>
    <w:rsid w:val="00EB65EE"/>
    <w:rsid w:val="00EC1347"/>
    <w:rsid w:val="00EC1869"/>
    <w:rsid w:val="00EC38BB"/>
    <w:rsid w:val="00EC3F08"/>
    <w:rsid w:val="00EC74E4"/>
    <w:rsid w:val="00EC7937"/>
    <w:rsid w:val="00ED09E5"/>
    <w:rsid w:val="00ED0AD7"/>
    <w:rsid w:val="00ED0E88"/>
    <w:rsid w:val="00ED3D57"/>
    <w:rsid w:val="00ED60AC"/>
    <w:rsid w:val="00ED6169"/>
    <w:rsid w:val="00ED6742"/>
    <w:rsid w:val="00ED67E4"/>
    <w:rsid w:val="00ED6CFD"/>
    <w:rsid w:val="00ED72DC"/>
    <w:rsid w:val="00EE017A"/>
    <w:rsid w:val="00EE0983"/>
    <w:rsid w:val="00EE160B"/>
    <w:rsid w:val="00EE461D"/>
    <w:rsid w:val="00EE68BB"/>
    <w:rsid w:val="00EE6A2B"/>
    <w:rsid w:val="00EE6BD3"/>
    <w:rsid w:val="00EF18F6"/>
    <w:rsid w:val="00EF1B3F"/>
    <w:rsid w:val="00EF4802"/>
    <w:rsid w:val="00EF5EB5"/>
    <w:rsid w:val="00EF75C8"/>
    <w:rsid w:val="00F012B4"/>
    <w:rsid w:val="00F01889"/>
    <w:rsid w:val="00F058C0"/>
    <w:rsid w:val="00F066E2"/>
    <w:rsid w:val="00F06E92"/>
    <w:rsid w:val="00F07289"/>
    <w:rsid w:val="00F07F4F"/>
    <w:rsid w:val="00F104E9"/>
    <w:rsid w:val="00F10CBE"/>
    <w:rsid w:val="00F10F00"/>
    <w:rsid w:val="00F12BCA"/>
    <w:rsid w:val="00F14573"/>
    <w:rsid w:val="00F15597"/>
    <w:rsid w:val="00F25E39"/>
    <w:rsid w:val="00F26756"/>
    <w:rsid w:val="00F27859"/>
    <w:rsid w:val="00F31D95"/>
    <w:rsid w:val="00F324C4"/>
    <w:rsid w:val="00F333DD"/>
    <w:rsid w:val="00F33483"/>
    <w:rsid w:val="00F34554"/>
    <w:rsid w:val="00F35C14"/>
    <w:rsid w:val="00F37425"/>
    <w:rsid w:val="00F408E1"/>
    <w:rsid w:val="00F44328"/>
    <w:rsid w:val="00F4797C"/>
    <w:rsid w:val="00F527A7"/>
    <w:rsid w:val="00F531CE"/>
    <w:rsid w:val="00F54068"/>
    <w:rsid w:val="00F55261"/>
    <w:rsid w:val="00F553EA"/>
    <w:rsid w:val="00F55934"/>
    <w:rsid w:val="00F55B8B"/>
    <w:rsid w:val="00F55D53"/>
    <w:rsid w:val="00F560E5"/>
    <w:rsid w:val="00F5699D"/>
    <w:rsid w:val="00F61799"/>
    <w:rsid w:val="00F6676A"/>
    <w:rsid w:val="00F678F5"/>
    <w:rsid w:val="00F67951"/>
    <w:rsid w:val="00F700C4"/>
    <w:rsid w:val="00F73021"/>
    <w:rsid w:val="00F80FED"/>
    <w:rsid w:val="00F8183D"/>
    <w:rsid w:val="00F821C1"/>
    <w:rsid w:val="00F82773"/>
    <w:rsid w:val="00F8291C"/>
    <w:rsid w:val="00F84BE5"/>
    <w:rsid w:val="00F84F2D"/>
    <w:rsid w:val="00F86A27"/>
    <w:rsid w:val="00F878FC"/>
    <w:rsid w:val="00F91F40"/>
    <w:rsid w:val="00F9548E"/>
    <w:rsid w:val="00F96992"/>
    <w:rsid w:val="00F974AD"/>
    <w:rsid w:val="00F9751D"/>
    <w:rsid w:val="00F978DB"/>
    <w:rsid w:val="00FA20E3"/>
    <w:rsid w:val="00FA32D1"/>
    <w:rsid w:val="00FA374B"/>
    <w:rsid w:val="00FA446D"/>
    <w:rsid w:val="00FB09CD"/>
    <w:rsid w:val="00FB34A5"/>
    <w:rsid w:val="00FB4CCC"/>
    <w:rsid w:val="00FB52F0"/>
    <w:rsid w:val="00FB6A4E"/>
    <w:rsid w:val="00FB75EE"/>
    <w:rsid w:val="00FC0778"/>
    <w:rsid w:val="00FC1C60"/>
    <w:rsid w:val="00FC4A34"/>
    <w:rsid w:val="00FC4E85"/>
    <w:rsid w:val="00FC5DA9"/>
    <w:rsid w:val="00FC6DD5"/>
    <w:rsid w:val="00FC7A54"/>
    <w:rsid w:val="00FD110E"/>
    <w:rsid w:val="00FD1FD2"/>
    <w:rsid w:val="00FD2160"/>
    <w:rsid w:val="00FD5196"/>
    <w:rsid w:val="00FD7C10"/>
    <w:rsid w:val="00FD7F6A"/>
    <w:rsid w:val="00FE08B3"/>
    <w:rsid w:val="00FE29A6"/>
    <w:rsid w:val="00FE2C67"/>
    <w:rsid w:val="00FE6F90"/>
    <w:rsid w:val="00FF0221"/>
    <w:rsid w:val="00FF102C"/>
    <w:rsid w:val="00FF10BC"/>
    <w:rsid w:val="00FF159B"/>
    <w:rsid w:val="00FF1B3A"/>
    <w:rsid w:val="00FF2E86"/>
    <w:rsid w:val="00FF3141"/>
    <w:rsid w:val="00FF401A"/>
    <w:rsid w:val="00FF6729"/>
    <w:rsid w:val="00FF6BEB"/>
    <w:rsid w:val="00FF7C45"/>
    <w:rsid w:val="052872B1"/>
    <w:rsid w:val="06123639"/>
    <w:rsid w:val="08B77013"/>
    <w:rsid w:val="08CD6326"/>
    <w:rsid w:val="0B7879D3"/>
    <w:rsid w:val="0B836806"/>
    <w:rsid w:val="0C936379"/>
    <w:rsid w:val="0CD40F04"/>
    <w:rsid w:val="0E331ABB"/>
    <w:rsid w:val="0E4B539C"/>
    <w:rsid w:val="126622FC"/>
    <w:rsid w:val="12D83F4B"/>
    <w:rsid w:val="15677718"/>
    <w:rsid w:val="176E7C2D"/>
    <w:rsid w:val="19C129F3"/>
    <w:rsid w:val="1D656637"/>
    <w:rsid w:val="1F7557EE"/>
    <w:rsid w:val="21B61CDD"/>
    <w:rsid w:val="31774CD9"/>
    <w:rsid w:val="37154A84"/>
    <w:rsid w:val="37933415"/>
    <w:rsid w:val="456675E7"/>
    <w:rsid w:val="46713A9E"/>
    <w:rsid w:val="47193D4C"/>
    <w:rsid w:val="4A6054FF"/>
    <w:rsid w:val="4AB93341"/>
    <w:rsid w:val="4DCB42D8"/>
    <w:rsid w:val="4FCA25F9"/>
    <w:rsid w:val="52EF20B6"/>
    <w:rsid w:val="534435AB"/>
    <w:rsid w:val="5D53485C"/>
    <w:rsid w:val="5E3E0EFE"/>
    <w:rsid w:val="60894AAE"/>
    <w:rsid w:val="62171DCE"/>
    <w:rsid w:val="63E26CC1"/>
    <w:rsid w:val="65094183"/>
    <w:rsid w:val="67136C41"/>
    <w:rsid w:val="6D141395"/>
    <w:rsid w:val="6E053F61"/>
    <w:rsid w:val="6E8E57F4"/>
    <w:rsid w:val="705809CE"/>
    <w:rsid w:val="72E67530"/>
    <w:rsid w:val="73603B57"/>
    <w:rsid w:val="74E44C78"/>
    <w:rsid w:val="78BB0434"/>
    <w:rsid w:val="7C341285"/>
    <w:rsid w:val="7C8270F6"/>
    <w:rsid w:val="7CEE0909"/>
    <w:rsid w:val="7EB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3261"/>
        <w:tab w:val="left" w:pos="4536"/>
      </w:tabs>
      <w:ind w:firstLine="566" w:firstLineChars="202"/>
      <w:jc w:val="both"/>
    </w:pPr>
    <w:rPr>
      <w:rFonts w:ascii="Times New Roman" w:hAnsi="Times New Roman" w:eastAsia="宋体" w:cs="Times New Roman"/>
      <w:kern w:val="2"/>
      <w:sz w:val="28"/>
      <w:szCs w:val="28"/>
      <w:lang w:val="en-US" w:eastAsia="zh-CN" w:bidi="ar-SA"/>
    </w:rPr>
  </w:style>
  <w:style w:type="paragraph" w:styleId="2">
    <w:name w:val="heading 1"/>
    <w:basedOn w:val="1"/>
    <w:next w:val="1"/>
    <w:link w:val="58"/>
    <w:qFormat/>
    <w:uiPriority w:val="0"/>
    <w:pPr>
      <w:spacing w:before="240"/>
      <w:ind w:firstLine="0" w:firstLineChars="0"/>
      <w:outlineLvl w:val="0"/>
    </w:pPr>
    <w:rPr>
      <w:b/>
      <w:sz w:val="32"/>
    </w:rPr>
  </w:style>
  <w:style w:type="paragraph" w:styleId="3">
    <w:name w:val="heading 2"/>
    <w:basedOn w:val="1"/>
    <w:next w:val="1"/>
    <w:link w:val="59"/>
    <w:unhideWhenUsed/>
    <w:qFormat/>
    <w:uiPriority w:val="0"/>
    <w:pPr>
      <w:spacing w:line="360" w:lineRule="auto"/>
      <w:ind w:firstLine="200" w:firstLineChars="200"/>
      <w:outlineLvl w:val="1"/>
    </w:pPr>
    <w:rPr>
      <w:b/>
    </w:rPr>
  </w:style>
  <w:style w:type="paragraph" w:styleId="4">
    <w:name w:val="heading 3"/>
    <w:basedOn w:val="1"/>
    <w:next w:val="1"/>
    <w:link w:val="61"/>
    <w:unhideWhenUsed/>
    <w:qFormat/>
    <w:uiPriority w:val="99"/>
    <w:pPr>
      <w:keepNext/>
      <w:keepLines/>
      <w:spacing w:line="360" w:lineRule="auto"/>
      <w:ind w:firstLine="200" w:firstLineChars="200"/>
      <w:outlineLvl w:val="2"/>
    </w:pPr>
    <w:rPr>
      <w:b/>
      <w:bCs/>
      <w:szCs w:val="32"/>
    </w:rPr>
  </w:style>
  <w:style w:type="paragraph" w:styleId="5">
    <w:name w:val="heading 4"/>
    <w:basedOn w:val="1"/>
    <w:next w:val="1"/>
    <w:link w:val="68"/>
    <w:qFormat/>
    <w:uiPriority w:val="0"/>
    <w:pPr>
      <w:keepNext/>
      <w:keepLines/>
      <w:tabs>
        <w:tab w:val="clear" w:pos="3261"/>
        <w:tab w:val="clear" w:pos="4536"/>
      </w:tabs>
      <w:spacing w:before="280" w:after="290" w:line="376" w:lineRule="auto"/>
      <w:ind w:firstLine="200" w:firstLineChars="200"/>
      <w:outlineLvl w:val="3"/>
    </w:pPr>
    <w:rPr>
      <w:rFonts w:ascii="Arial" w:hAnsi="Arial" w:eastAsia="黑体"/>
      <w:b/>
      <w:bCs/>
    </w:rPr>
  </w:style>
  <w:style w:type="paragraph" w:styleId="6">
    <w:name w:val="heading 5"/>
    <w:basedOn w:val="1"/>
    <w:next w:val="7"/>
    <w:link w:val="69"/>
    <w:qFormat/>
    <w:uiPriority w:val="0"/>
    <w:pPr>
      <w:keepNext/>
      <w:keepLines/>
      <w:tabs>
        <w:tab w:val="clear" w:pos="3261"/>
        <w:tab w:val="clear" w:pos="4536"/>
      </w:tabs>
      <w:spacing w:before="280" w:after="290" w:line="376" w:lineRule="auto"/>
      <w:ind w:left="1575" w:hanging="1008" w:firstLineChars="0"/>
      <w:outlineLvl w:val="4"/>
    </w:pPr>
    <w:rPr>
      <w:b/>
      <w:szCs w:val="20"/>
    </w:rPr>
  </w:style>
  <w:style w:type="paragraph" w:styleId="8">
    <w:name w:val="heading 6"/>
    <w:basedOn w:val="1"/>
    <w:next w:val="7"/>
    <w:link w:val="70"/>
    <w:qFormat/>
    <w:uiPriority w:val="0"/>
    <w:pPr>
      <w:keepNext/>
      <w:keepLines/>
      <w:tabs>
        <w:tab w:val="left" w:pos="1719"/>
        <w:tab w:val="clear" w:pos="3261"/>
        <w:tab w:val="clear" w:pos="4536"/>
      </w:tabs>
      <w:spacing w:before="240" w:after="64" w:line="319" w:lineRule="auto"/>
      <w:ind w:left="1719" w:hanging="1152" w:firstLineChars="0"/>
      <w:outlineLvl w:val="5"/>
    </w:pPr>
    <w:rPr>
      <w:rFonts w:ascii="Arial" w:hAnsi="Arial" w:eastAsia="黑体"/>
      <w:b/>
      <w:sz w:val="24"/>
      <w:szCs w:val="20"/>
    </w:rPr>
  </w:style>
  <w:style w:type="paragraph" w:styleId="9">
    <w:name w:val="heading 7"/>
    <w:basedOn w:val="1"/>
    <w:next w:val="7"/>
    <w:link w:val="71"/>
    <w:qFormat/>
    <w:uiPriority w:val="0"/>
    <w:pPr>
      <w:keepNext/>
      <w:keepLines/>
      <w:tabs>
        <w:tab w:val="left" w:pos="1863"/>
        <w:tab w:val="clear" w:pos="3261"/>
        <w:tab w:val="clear" w:pos="4536"/>
      </w:tabs>
      <w:spacing w:before="240" w:after="64" w:line="319" w:lineRule="auto"/>
      <w:ind w:left="1863" w:hanging="1296" w:firstLineChars="0"/>
      <w:outlineLvl w:val="6"/>
    </w:pPr>
    <w:rPr>
      <w:b/>
      <w:sz w:val="24"/>
      <w:szCs w:val="20"/>
    </w:rPr>
  </w:style>
  <w:style w:type="paragraph" w:styleId="10">
    <w:name w:val="heading 8"/>
    <w:basedOn w:val="1"/>
    <w:next w:val="7"/>
    <w:link w:val="72"/>
    <w:qFormat/>
    <w:uiPriority w:val="0"/>
    <w:pPr>
      <w:keepNext/>
      <w:keepLines/>
      <w:tabs>
        <w:tab w:val="left" w:pos="2007"/>
        <w:tab w:val="clear" w:pos="3261"/>
        <w:tab w:val="clear" w:pos="4536"/>
      </w:tabs>
      <w:spacing w:before="240" w:after="64" w:line="319" w:lineRule="auto"/>
      <w:ind w:left="2007" w:hanging="1440" w:firstLineChars="0"/>
      <w:outlineLvl w:val="7"/>
    </w:pPr>
    <w:rPr>
      <w:rFonts w:ascii="Arial" w:hAnsi="Arial" w:eastAsia="黑体"/>
      <w:sz w:val="24"/>
      <w:szCs w:val="20"/>
    </w:rPr>
  </w:style>
  <w:style w:type="paragraph" w:styleId="11">
    <w:name w:val="heading 9"/>
    <w:basedOn w:val="1"/>
    <w:next w:val="7"/>
    <w:link w:val="73"/>
    <w:qFormat/>
    <w:uiPriority w:val="0"/>
    <w:pPr>
      <w:keepNext/>
      <w:keepLines/>
      <w:tabs>
        <w:tab w:val="left" w:pos="2151"/>
        <w:tab w:val="clear" w:pos="3261"/>
        <w:tab w:val="clear" w:pos="4536"/>
      </w:tabs>
      <w:spacing w:before="240" w:after="64" w:line="319" w:lineRule="auto"/>
      <w:ind w:left="2151" w:hanging="1584" w:firstLineChars="0"/>
      <w:outlineLvl w:val="8"/>
    </w:pPr>
    <w:rPr>
      <w:rFonts w:ascii="Arial" w:hAnsi="Arial" w:eastAsia="黑体"/>
      <w:sz w:val="21"/>
      <w:szCs w:val="20"/>
    </w:rPr>
  </w:style>
  <w:style w:type="character" w:default="1" w:styleId="46">
    <w:name w:val="Default Paragraph Font"/>
    <w:semiHidden/>
    <w:unhideWhenUsed/>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7">
    <w:name w:val="Normal Indent"/>
    <w:basedOn w:val="1"/>
    <w:qFormat/>
    <w:uiPriority w:val="0"/>
    <w:pPr>
      <w:tabs>
        <w:tab w:val="clear" w:pos="3261"/>
        <w:tab w:val="clear" w:pos="4536"/>
      </w:tabs>
      <w:autoSpaceDE w:val="0"/>
      <w:autoSpaceDN w:val="0"/>
      <w:adjustRightInd w:val="0"/>
      <w:spacing w:line="315" w:lineRule="atLeast"/>
      <w:ind w:left="720" w:firstLine="200" w:firstLineChars="200"/>
    </w:pPr>
    <w:rPr>
      <w:rFonts w:ascii="宋体"/>
      <w:kern w:val="0"/>
      <w:szCs w:val="20"/>
    </w:rPr>
  </w:style>
  <w:style w:type="paragraph" w:styleId="12">
    <w:name w:val="toc 7"/>
    <w:basedOn w:val="1"/>
    <w:next w:val="1"/>
    <w:unhideWhenUsed/>
    <w:qFormat/>
    <w:uiPriority w:val="39"/>
    <w:pPr>
      <w:tabs>
        <w:tab w:val="clear" w:pos="3261"/>
        <w:tab w:val="clear" w:pos="4536"/>
      </w:tabs>
      <w:ind w:left="1680"/>
      <w:jc w:val="left"/>
    </w:pPr>
    <w:rPr>
      <w:rFonts w:asciiTheme="minorHAnsi" w:eastAsiaTheme="minorHAnsi"/>
      <w:sz w:val="18"/>
      <w:szCs w:val="18"/>
    </w:rPr>
  </w:style>
  <w:style w:type="paragraph" w:styleId="13">
    <w:name w:val="Document Map"/>
    <w:basedOn w:val="1"/>
    <w:link w:val="106"/>
    <w:qFormat/>
    <w:uiPriority w:val="0"/>
    <w:pPr>
      <w:numPr>
        <w:ilvl w:val="0"/>
        <w:numId w:val="1"/>
      </w:numPr>
      <w:tabs>
        <w:tab w:val="clear" w:pos="360"/>
        <w:tab w:val="clear" w:pos="3261"/>
        <w:tab w:val="clear" w:pos="4536"/>
      </w:tabs>
      <w:spacing w:line="360" w:lineRule="auto"/>
      <w:ind w:left="0" w:firstLine="200" w:firstLineChars="200"/>
    </w:pPr>
    <w:rPr>
      <w:rFonts w:ascii="宋体"/>
      <w:sz w:val="18"/>
      <w:szCs w:val="18"/>
    </w:rPr>
  </w:style>
  <w:style w:type="paragraph" w:styleId="14">
    <w:name w:val="annotation text"/>
    <w:basedOn w:val="1"/>
    <w:link w:val="65"/>
    <w:unhideWhenUsed/>
    <w:qFormat/>
    <w:uiPriority w:val="99"/>
    <w:pPr>
      <w:jc w:val="left"/>
    </w:pPr>
  </w:style>
  <w:style w:type="paragraph" w:styleId="15">
    <w:name w:val="Body Text 3"/>
    <w:basedOn w:val="1"/>
    <w:link w:val="146"/>
    <w:qFormat/>
    <w:uiPriority w:val="0"/>
    <w:pPr>
      <w:tabs>
        <w:tab w:val="clear" w:pos="3261"/>
        <w:tab w:val="clear" w:pos="4536"/>
      </w:tabs>
      <w:spacing w:line="480" w:lineRule="auto"/>
      <w:ind w:firstLine="0" w:firstLineChars="0"/>
      <w:jc w:val="center"/>
    </w:pPr>
    <w:rPr>
      <w:rFonts w:ascii="隶书" w:eastAsia="隶书"/>
      <w:b/>
      <w:bCs/>
      <w:sz w:val="84"/>
      <w:szCs w:val="21"/>
    </w:rPr>
  </w:style>
  <w:style w:type="paragraph" w:styleId="16">
    <w:name w:val="Body Text"/>
    <w:basedOn w:val="1"/>
    <w:link w:val="148"/>
    <w:unhideWhenUsed/>
    <w:qFormat/>
    <w:uiPriority w:val="0"/>
    <w:pPr>
      <w:widowControl/>
      <w:tabs>
        <w:tab w:val="clear" w:pos="3261"/>
        <w:tab w:val="clear" w:pos="4536"/>
      </w:tabs>
      <w:spacing w:after="120" w:line="360" w:lineRule="auto"/>
      <w:ind w:firstLine="567" w:firstLineChars="0"/>
    </w:pPr>
    <w:rPr>
      <w:szCs w:val="22"/>
    </w:rPr>
  </w:style>
  <w:style w:type="paragraph" w:styleId="17">
    <w:name w:val="Body Text Indent"/>
    <w:basedOn w:val="1"/>
    <w:link w:val="60"/>
    <w:qFormat/>
    <w:uiPriority w:val="0"/>
    <w:pPr>
      <w:tabs>
        <w:tab w:val="clear" w:pos="3261"/>
        <w:tab w:val="clear" w:pos="4536"/>
      </w:tabs>
      <w:spacing w:after="120"/>
      <w:ind w:left="420" w:leftChars="200" w:firstLine="0" w:firstLineChars="0"/>
    </w:pPr>
    <w:rPr>
      <w:sz w:val="21"/>
      <w:szCs w:val="24"/>
    </w:rPr>
  </w:style>
  <w:style w:type="paragraph" w:styleId="18">
    <w:name w:val="toc 5"/>
    <w:basedOn w:val="1"/>
    <w:next w:val="1"/>
    <w:unhideWhenUsed/>
    <w:qFormat/>
    <w:uiPriority w:val="39"/>
    <w:pPr>
      <w:tabs>
        <w:tab w:val="clear" w:pos="3261"/>
        <w:tab w:val="clear" w:pos="4536"/>
      </w:tabs>
      <w:ind w:left="1120"/>
      <w:jc w:val="left"/>
    </w:pPr>
    <w:rPr>
      <w:rFonts w:asciiTheme="minorHAnsi" w:eastAsiaTheme="minorHAnsi"/>
      <w:sz w:val="18"/>
      <w:szCs w:val="18"/>
    </w:rPr>
  </w:style>
  <w:style w:type="paragraph" w:styleId="19">
    <w:name w:val="toc 3"/>
    <w:basedOn w:val="1"/>
    <w:next w:val="1"/>
    <w:unhideWhenUsed/>
    <w:qFormat/>
    <w:uiPriority w:val="39"/>
    <w:pPr>
      <w:tabs>
        <w:tab w:val="clear" w:pos="3261"/>
        <w:tab w:val="clear" w:pos="4536"/>
      </w:tabs>
      <w:ind w:left="560" w:firstLine="404"/>
      <w:jc w:val="left"/>
    </w:pPr>
    <w:rPr>
      <w:rFonts w:ascii="宋体"/>
      <w:iCs/>
      <w:szCs w:val="20"/>
    </w:rPr>
  </w:style>
  <w:style w:type="paragraph" w:styleId="20">
    <w:name w:val="Plain Text"/>
    <w:basedOn w:val="1"/>
    <w:link w:val="133"/>
    <w:qFormat/>
    <w:uiPriority w:val="0"/>
    <w:pPr>
      <w:tabs>
        <w:tab w:val="clear" w:pos="3261"/>
        <w:tab w:val="clear" w:pos="4536"/>
      </w:tabs>
      <w:ind w:firstLine="0" w:firstLineChars="0"/>
    </w:pPr>
    <w:rPr>
      <w:rFonts w:ascii="宋体"/>
      <w:sz w:val="24"/>
      <w:szCs w:val="20"/>
    </w:rPr>
  </w:style>
  <w:style w:type="paragraph" w:styleId="21">
    <w:name w:val="toc 8"/>
    <w:basedOn w:val="1"/>
    <w:next w:val="1"/>
    <w:unhideWhenUsed/>
    <w:qFormat/>
    <w:uiPriority w:val="39"/>
    <w:pPr>
      <w:tabs>
        <w:tab w:val="clear" w:pos="3261"/>
        <w:tab w:val="clear" w:pos="4536"/>
      </w:tabs>
      <w:ind w:left="1960"/>
      <w:jc w:val="left"/>
    </w:pPr>
    <w:rPr>
      <w:rFonts w:asciiTheme="minorHAnsi" w:eastAsiaTheme="minorHAnsi"/>
      <w:sz w:val="18"/>
      <w:szCs w:val="18"/>
    </w:rPr>
  </w:style>
  <w:style w:type="paragraph" w:styleId="22">
    <w:name w:val="Date"/>
    <w:basedOn w:val="1"/>
    <w:next w:val="1"/>
    <w:link w:val="117"/>
    <w:qFormat/>
    <w:uiPriority w:val="99"/>
    <w:pPr>
      <w:tabs>
        <w:tab w:val="clear" w:pos="3261"/>
        <w:tab w:val="clear" w:pos="4536"/>
      </w:tabs>
      <w:spacing w:line="360" w:lineRule="auto"/>
      <w:ind w:left="2500" w:leftChars="2500" w:firstLine="200" w:firstLineChars="200"/>
    </w:pPr>
    <w:rPr>
      <w:szCs w:val="20"/>
    </w:rPr>
  </w:style>
  <w:style w:type="paragraph" w:styleId="23">
    <w:name w:val="Body Text Indent 2"/>
    <w:basedOn w:val="1"/>
    <w:link w:val="129"/>
    <w:qFormat/>
    <w:uiPriority w:val="0"/>
    <w:pPr>
      <w:tabs>
        <w:tab w:val="left" w:pos="0"/>
        <w:tab w:val="clear" w:pos="3261"/>
        <w:tab w:val="clear" w:pos="4536"/>
      </w:tabs>
      <w:ind w:firstLine="200" w:firstLineChars="200"/>
    </w:pPr>
    <w:rPr>
      <w:color w:val="993366"/>
      <w:sz w:val="21"/>
      <w:szCs w:val="24"/>
    </w:rPr>
  </w:style>
  <w:style w:type="paragraph" w:styleId="24">
    <w:name w:val="endnote text"/>
    <w:basedOn w:val="1"/>
    <w:link w:val="111"/>
    <w:qFormat/>
    <w:uiPriority w:val="0"/>
    <w:pPr>
      <w:numPr>
        <w:ilvl w:val="0"/>
        <w:numId w:val="2"/>
      </w:numPr>
      <w:tabs>
        <w:tab w:val="clear" w:pos="2040"/>
        <w:tab w:val="clear" w:pos="3261"/>
        <w:tab w:val="clear" w:pos="4536"/>
      </w:tabs>
      <w:autoSpaceDE w:val="0"/>
      <w:autoSpaceDN w:val="0"/>
      <w:adjustRightInd w:val="0"/>
      <w:snapToGrid w:val="0"/>
      <w:spacing w:line="360" w:lineRule="auto"/>
      <w:ind w:left="170" w:right="170" w:firstLine="200" w:firstLineChars="200"/>
      <w:jc w:val="left"/>
      <w:textAlignment w:val="baseline"/>
    </w:pPr>
    <w:rPr>
      <w:kern w:val="0"/>
      <w:sz w:val="22"/>
      <w:szCs w:val="20"/>
    </w:rPr>
  </w:style>
  <w:style w:type="paragraph" w:styleId="25">
    <w:name w:val="Balloon Text"/>
    <w:basedOn w:val="1"/>
    <w:link w:val="67"/>
    <w:unhideWhenUsed/>
    <w:qFormat/>
    <w:uiPriority w:val="0"/>
    <w:rPr>
      <w:sz w:val="18"/>
      <w:szCs w:val="18"/>
    </w:rPr>
  </w:style>
  <w:style w:type="paragraph" w:styleId="26">
    <w:name w:val="footer"/>
    <w:basedOn w:val="1"/>
    <w:link w:val="55"/>
    <w:unhideWhenUsed/>
    <w:qFormat/>
    <w:uiPriority w:val="0"/>
    <w:pPr>
      <w:tabs>
        <w:tab w:val="center" w:pos="4153"/>
        <w:tab w:val="right" w:pos="8306"/>
      </w:tabs>
      <w:snapToGrid w:val="0"/>
      <w:jc w:val="left"/>
    </w:pPr>
    <w:rPr>
      <w:rFonts w:asciiTheme="minorHAnsi" w:hAnsiTheme="minorHAnsi" w:cstheme="minorBidi"/>
      <w:sz w:val="18"/>
      <w:szCs w:val="18"/>
    </w:rPr>
  </w:style>
  <w:style w:type="paragraph" w:styleId="27">
    <w:name w:val="header"/>
    <w:basedOn w:val="1"/>
    <w:link w:val="54"/>
    <w:unhideWhenUsed/>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28">
    <w:name w:val="toc 1"/>
    <w:basedOn w:val="1"/>
    <w:next w:val="1"/>
    <w:unhideWhenUsed/>
    <w:qFormat/>
    <w:uiPriority w:val="39"/>
    <w:pPr>
      <w:tabs>
        <w:tab w:val="right" w:leader="dot" w:pos="8296"/>
        <w:tab w:val="clear" w:pos="3261"/>
        <w:tab w:val="clear" w:pos="4536"/>
      </w:tabs>
      <w:spacing w:before="120" w:after="120" w:line="360" w:lineRule="auto"/>
      <w:jc w:val="left"/>
    </w:pPr>
    <w:rPr>
      <w:rFonts w:ascii="宋体"/>
      <w:bCs/>
      <w:caps/>
      <w:szCs w:val="20"/>
    </w:rPr>
  </w:style>
  <w:style w:type="paragraph" w:styleId="29">
    <w:name w:val="toc 4"/>
    <w:basedOn w:val="1"/>
    <w:next w:val="1"/>
    <w:unhideWhenUsed/>
    <w:qFormat/>
    <w:uiPriority w:val="39"/>
    <w:pPr>
      <w:tabs>
        <w:tab w:val="clear" w:pos="3261"/>
        <w:tab w:val="clear" w:pos="4536"/>
      </w:tabs>
      <w:ind w:left="840"/>
      <w:jc w:val="left"/>
    </w:pPr>
    <w:rPr>
      <w:rFonts w:ascii="宋体"/>
      <w:szCs w:val="18"/>
    </w:rPr>
  </w:style>
  <w:style w:type="paragraph" w:styleId="30">
    <w:name w:val="Subtitle"/>
    <w:basedOn w:val="1"/>
    <w:next w:val="1"/>
    <w:link w:val="77"/>
    <w:qFormat/>
    <w:uiPriority w:val="11"/>
    <w:pPr>
      <w:spacing w:before="240" w:after="60" w:line="312" w:lineRule="auto"/>
      <w:jc w:val="center"/>
      <w:outlineLvl w:val="1"/>
    </w:pPr>
    <w:rPr>
      <w:rFonts w:eastAsia="等线" w:asciiTheme="minorHAnsi" w:hAnsiTheme="minorHAnsi" w:cstheme="minorBidi"/>
      <w:b/>
      <w:bCs/>
      <w:kern w:val="28"/>
      <w:sz w:val="32"/>
      <w:szCs w:val="32"/>
    </w:rPr>
  </w:style>
  <w:style w:type="paragraph" w:styleId="31">
    <w:name w:val="List"/>
    <w:basedOn w:val="1"/>
    <w:qFormat/>
    <w:uiPriority w:val="0"/>
    <w:pPr>
      <w:tabs>
        <w:tab w:val="clear" w:pos="3261"/>
        <w:tab w:val="clear" w:pos="4536"/>
      </w:tabs>
      <w:spacing w:line="280" w:lineRule="exact"/>
      <w:ind w:firstLine="200" w:firstLineChars="200"/>
      <w:jc w:val="center"/>
    </w:pPr>
    <w:rPr>
      <w:sz w:val="24"/>
      <w:szCs w:val="20"/>
    </w:rPr>
  </w:style>
  <w:style w:type="paragraph" w:styleId="32">
    <w:name w:val="footnote text"/>
    <w:basedOn w:val="1"/>
    <w:link w:val="215"/>
    <w:unhideWhenUsed/>
    <w:qFormat/>
    <w:uiPriority w:val="99"/>
    <w:pPr>
      <w:tabs>
        <w:tab w:val="clear" w:pos="3261"/>
        <w:tab w:val="clear" w:pos="4536"/>
      </w:tabs>
      <w:snapToGrid w:val="0"/>
      <w:ind w:firstLine="200" w:firstLineChars="200"/>
      <w:jc w:val="left"/>
    </w:pPr>
    <w:rPr>
      <w:rFonts w:ascii="Calibri" w:hAnsi="Calibri" w:cstheme="minorBidi"/>
      <w:sz w:val="18"/>
      <w:szCs w:val="18"/>
    </w:rPr>
  </w:style>
  <w:style w:type="paragraph" w:styleId="33">
    <w:name w:val="toc 6"/>
    <w:basedOn w:val="1"/>
    <w:next w:val="1"/>
    <w:unhideWhenUsed/>
    <w:qFormat/>
    <w:uiPriority w:val="39"/>
    <w:pPr>
      <w:tabs>
        <w:tab w:val="clear" w:pos="3261"/>
        <w:tab w:val="clear" w:pos="4536"/>
      </w:tabs>
      <w:ind w:left="1400"/>
      <w:jc w:val="left"/>
    </w:pPr>
    <w:rPr>
      <w:rFonts w:asciiTheme="minorHAnsi" w:eastAsiaTheme="minorHAnsi"/>
      <w:sz w:val="18"/>
      <w:szCs w:val="18"/>
    </w:rPr>
  </w:style>
  <w:style w:type="paragraph" w:styleId="34">
    <w:name w:val="Body Text Indent 3"/>
    <w:basedOn w:val="1"/>
    <w:link w:val="161"/>
    <w:qFormat/>
    <w:uiPriority w:val="0"/>
    <w:pPr>
      <w:tabs>
        <w:tab w:val="clear" w:pos="3261"/>
        <w:tab w:val="clear" w:pos="4536"/>
      </w:tabs>
      <w:ind w:firstLine="680" w:firstLineChars="0"/>
      <w:outlineLvl w:val="0"/>
    </w:pPr>
    <w:rPr>
      <w:rFonts w:ascii="宋体"/>
      <w:sz w:val="32"/>
      <w:szCs w:val="24"/>
    </w:rPr>
  </w:style>
  <w:style w:type="paragraph" w:styleId="35">
    <w:name w:val="toc 2"/>
    <w:basedOn w:val="1"/>
    <w:next w:val="1"/>
    <w:unhideWhenUsed/>
    <w:qFormat/>
    <w:uiPriority w:val="39"/>
    <w:pPr>
      <w:tabs>
        <w:tab w:val="right" w:leader="dot" w:pos="8296"/>
        <w:tab w:val="clear" w:pos="3261"/>
        <w:tab w:val="clear" w:pos="4536"/>
      </w:tabs>
      <w:ind w:left="280" w:firstLine="571" w:firstLineChars="203"/>
      <w:jc w:val="left"/>
    </w:pPr>
    <w:rPr>
      <w:bCs/>
      <w:smallCaps/>
    </w:rPr>
  </w:style>
  <w:style w:type="paragraph" w:styleId="36">
    <w:name w:val="toc 9"/>
    <w:basedOn w:val="1"/>
    <w:next w:val="1"/>
    <w:unhideWhenUsed/>
    <w:qFormat/>
    <w:uiPriority w:val="39"/>
    <w:pPr>
      <w:tabs>
        <w:tab w:val="clear" w:pos="3261"/>
        <w:tab w:val="clear" w:pos="4536"/>
      </w:tabs>
      <w:ind w:left="2240"/>
      <w:jc w:val="left"/>
    </w:pPr>
    <w:rPr>
      <w:rFonts w:asciiTheme="minorHAnsi" w:eastAsiaTheme="minorHAnsi"/>
      <w:sz w:val="18"/>
      <w:szCs w:val="18"/>
    </w:rPr>
  </w:style>
  <w:style w:type="paragraph" w:styleId="37">
    <w:name w:val="Body Text 2"/>
    <w:basedOn w:val="1"/>
    <w:link w:val="163"/>
    <w:qFormat/>
    <w:uiPriority w:val="0"/>
    <w:pPr>
      <w:tabs>
        <w:tab w:val="clear" w:pos="3261"/>
        <w:tab w:val="clear" w:pos="4536"/>
      </w:tabs>
      <w:ind w:firstLine="0" w:firstLineChars="0"/>
    </w:pPr>
    <w:rPr>
      <w:sz w:val="24"/>
      <w:szCs w:val="20"/>
    </w:rPr>
  </w:style>
  <w:style w:type="paragraph" w:styleId="38">
    <w:name w:val="HTML Preformatted"/>
    <w:basedOn w:val="1"/>
    <w:link w:val="16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3261"/>
        <w:tab w:val="clear" w:pos="4536"/>
      </w:tabs>
      <w:ind w:firstLine="0" w:firstLineChars="0"/>
      <w:jc w:val="left"/>
    </w:pPr>
    <w:rPr>
      <w:rFonts w:ascii="Arial Unicode MS" w:hAnsi="Arial Unicode MS" w:eastAsia="Arial Unicode MS" w:cs="Arial Unicode MS"/>
      <w:kern w:val="0"/>
      <w:sz w:val="20"/>
      <w:szCs w:val="20"/>
    </w:rPr>
  </w:style>
  <w:style w:type="paragraph" w:styleId="39">
    <w:name w:val="Normal (Web)"/>
    <w:basedOn w:val="1"/>
    <w:unhideWhenUsed/>
    <w:qFormat/>
    <w:uiPriority w:val="0"/>
    <w:pPr>
      <w:widowControl/>
      <w:spacing w:before="100" w:beforeAutospacing="1" w:after="100" w:afterAutospacing="1" w:line="360" w:lineRule="auto"/>
      <w:ind w:left="200" w:hanging="200" w:hangingChars="200"/>
      <w:jc w:val="left"/>
    </w:pPr>
    <w:rPr>
      <w:rFonts w:cs="宋体"/>
      <w:kern w:val="0"/>
      <w:sz w:val="24"/>
      <w:szCs w:val="24"/>
    </w:rPr>
  </w:style>
  <w:style w:type="paragraph" w:styleId="40">
    <w:name w:val="Title"/>
    <w:basedOn w:val="1"/>
    <w:next w:val="1"/>
    <w:link w:val="75"/>
    <w:qFormat/>
    <w:uiPriority w:val="0"/>
    <w:pPr>
      <w:widowControl/>
      <w:tabs>
        <w:tab w:val="clear" w:pos="3261"/>
        <w:tab w:val="clear" w:pos="4536"/>
      </w:tabs>
      <w:spacing w:line="360" w:lineRule="auto"/>
      <w:ind w:firstLine="0" w:firstLineChars="0"/>
      <w:jc w:val="center"/>
    </w:pPr>
    <w:rPr>
      <w:b/>
      <w:sz w:val="32"/>
      <w:szCs w:val="22"/>
    </w:rPr>
  </w:style>
  <w:style w:type="paragraph" w:styleId="41">
    <w:name w:val="annotation subject"/>
    <w:basedOn w:val="14"/>
    <w:next w:val="14"/>
    <w:link w:val="66"/>
    <w:unhideWhenUsed/>
    <w:qFormat/>
    <w:uiPriority w:val="0"/>
    <w:rPr>
      <w:b/>
      <w:bCs/>
    </w:rPr>
  </w:style>
  <w:style w:type="paragraph" w:styleId="42">
    <w:name w:val="Body Text First Indent"/>
    <w:basedOn w:val="16"/>
    <w:link w:val="149"/>
    <w:qFormat/>
    <w:uiPriority w:val="0"/>
    <w:pPr>
      <w:widowControl w:val="0"/>
      <w:ind w:firstLine="100" w:firstLineChars="100"/>
    </w:pPr>
    <w:rPr>
      <w:szCs w:val="24"/>
    </w:rPr>
  </w:style>
  <w:style w:type="paragraph" w:styleId="43">
    <w:name w:val="Body Text First Indent 2"/>
    <w:basedOn w:val="17"/>
    <w:link w:val="160"/>
    <w:qFormat/>
    <w:uiPriority w:val="0"/>
    <w:pPr>
      <w:spacing w:line="360" w:lineRule="auto"/>
      <w:ind w:left="200" w:firstLine="200" w:firstLineChars="200"/>
    </w:pPr>
    <w:rPr>
      <w:sz w:val="28"/>
    </w:rPr>
  </w:style>
  <w:style w:type="table" w:styleId="45">
    <w:name w:val="Table Grid"/>
    <w:basedOn w:val="4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7">
    <w:name w:val="Strong"/>
    <w:qFormat/>
    <w:uiPriority w:val="0"/>
    <w:rPr>
      <w:b/>
      <w:bCs/>
    </w:rPr>
  </w:style>
  <w:style w:type="character" w:styleId="48">
    <w:name w:val="page number"/>
    <w:qFormat/>
    <w:uiPriority w:val="0"/>
  </w:style>
  <w:style w:type="character" w:styleId="49">
    <w:name w:val="FollowedHyperlink"/>
    <w:qFormat/>
    <w:uiPriority w:val="0"/>
    <w:rPr>
      <w:color w:val="800080"/>
      <w:u w:val="single"/>
    </w:rPr>
  </w:style>
  <w:style w:type="character" w:styleId="50">
    <w:name w:val="Emphasis"/>
    <w:qFormat/>
    <w:uiPriority w:val="0"/>
    <w:rPr>
      <w:color w:val="DD0000"/>
    </w:rPr>
  </w:style>
  <w:style w:type="character" w:styleId="51">
    <w:name w:val="Hyperlink"/>
    <w:basedOn w:val="46"/>
    <w:unhideWhenUsed/>
    <w:qFormat/>
    <w:uiPriority w:val="99"/>
    <w:rPr>
      <w:color w:val="0563C1" w:themeColor="hyperlink"/>
      <w:u w:val="single"/>
      <w14:textFill>
        <w14:solidFill>
          <w14:schemeClr w14:val="hlink"/>
        </w14:solidFill>
      </w14:textFill>
    </w:rPr>
  </w:style>
  <w:style w:type="character" w:styleId="52">
    <w:name w:val="annotation reference"/>
    <w:basedOn w:val="46"/>
    <w:unhideWhenUsed/>
    <w:qFormat/>
    <w:uiPriority w:val="0"/>
    <w:rPr>
      <w:sz w:val="21"/>
      <w:szCs w:val="21"/>
    </w:rPr>
  </w:style>
  <w:style w:type="character" w:styleId="53">
    <w:name w:val="footnote reference"/>
    <w:unhideWhenUsed/>
    <w:qFormat/>
    <w:uiPriority w:val="99"/>
    <w:rPr>
      <w:vertAlign w:val="superscript"/>
    </w:rPr>
  </w:style>
  <w:style w:type="character" w:customStyle="1" w:styleId="54">
    <w:name w:val="页眉 Char"/>
    <w:link w:val="27"/>
    <w:qFormat/>
    <w:uiPriority w:val="99"/>
    <w:rPr>
      <w:sz w:val="18"/>
      <w:szCs w:val="18"/>
    </w:rPr>
  </w:style>
  <w:style w:type="character" w:customStyle="1" w:styleId="55">
    <w:name w:val="页脚 Char"/>
    <w:link w:val="26"/>
    <w:qFormat/>
    <w:uiPriority w:val="99"/>
    <w:rPr>
      <w:sz w:val="18"/>
      <w:szCs w:val="18"/>
    </w:rPr>
  </w:style>
  <w:style w:type="character" w:customStyle="1" w:styleId="56">
    <w:name w:val="页眉 字符"/>
    <w:basedOn w:val="46"/>
    <w:semiHidden/>
    <w:qFormat/>
    <w:uiPriority w:val="99"/>
    <w:rPr>
      <w:rFonts w:ascii="宋体" w:hAnsi="宋体" w:cs="MingLiU"/>
      <w:sz w:val="18"/>
      <w:szCs w:val="18"/>
    </w:rPr>
  </w:style>
  <w:style w:type="character" w:customStyle="1" w:styleId="57">
    <w:name w:val="页脚 字符"/>
    <w:basedOn w:val="46"/>
    <w:qFormat/>
    <w:uiPriority w:val="99"/>
    <w:rPr>
      <w:rFonts w:ascii="宋体" w:hAnsi="宋体" w:cs="MingLiU"/>
      <w:sz w:val="18"/>
      <w:szCs w:val="18"/>
    </w:rPr>
  </w:style>
  <w:style w:type="character" w:customStyle="1" w:styleId="58">
    <w:name w:val="标题 1 Char"/>
    <w:basedOn w:val="46"/>
    <w:link w:val="2"/>
    <w:qFormat/>
    <w:uiPriority w:val="0"/>
    <w:rPr>
      <w:rFonts w:ascii="Times New Roman" w:hAnsi="Times New Roman" w:cs="Times New Roman"/>
      <w:b/>
      <w:kern w:val="2"/>
      <w:sz w:val="32"/>
      <w:szCs w:val="28"/>
    </w:rPr>
  </w:style>
  <w:style w:type="character" w:customStyle="1" w:styleId="59">
    <w:name w:val="标题 2 Char"/>
    <w:basedOn w:val="46"/>
    <w:link w:val="3"/>
    <w:qFormat/>
    <w:uiPriority w:val="0"/>
    <w:rPr>
      <w:rFonts w:ascii="Times New Roman" w:hAnsi="Times New Roman" w:cs="Times New Roman"/>
      <w:b/>
      <w:kern w:val="2"/>
      <w:sz w:val="28"/>
      <w:szCs w:val="28"/>
    </w:rPr>
  </w:style>
  <w:style w:type="character" w:customStyle="1" w:styleId="60">
    <w:name w:val="正文文本缩进 Char"/>
    <w:basedOn w:val="46"/>
    <w:link w:val="17"/>
    <w:qFormat/>
    <w:uiPriority w:val="0"/>
    <w:rPr>
      <w:rFonts w:ascii="Times New Roman" w:hAnsi="Times New Roman" w:cs="Times New Roman"/>
      <w:szCs w:val="24"/>
    </w:rPr>
  </w:style>
  <w:style w:type="character" w:customStyle="1" w:styleId="61">
    <w:name w:val="标题 3 Char"/>
    <w:basedOn w:val="46"/>
    <w:link w:val="4"/>
    <w:qFormat/>
    <w:uiPriority w:val="99"/>
    <w:rPr>
      <w:rFonts w:ascii="Times New Roman" w:hAnsi="Times New Roman" w:cs="Times New Roman"/>
      <w:b/>
      <w:bCs/>
      <w:kern w:val="2"/>
      <w:sz w:val="28"/>
      <w:szCs w:val="32"/>
    </w:rPr>
  </w:style>
  <w:style w:type="paragraph" w:customStyle="1" w:styleId="62">
    <w:name w:val="列出段落1"/>
    <w:basedOn w:val="1"/>
    <w:qFormat/>
    <w:uiPriority w:val="34"/>
    <w:pPr>
      <w:widowControl/>
      <w:tabs>
        <w:tab w:val="clear" w:pos="3261"/>
        <w:tab w:val="clear" w:pos="4536"/>
      </w:tabs>
      <w:spacing w:line="360" w:lineRule="auto"/>
      <w:ind w:firstLine="420" w:firstLineChars="200"/>
    </w:pPr>
    <w:rPr>
      <w:szCs w:val="22"/>
    </w:rPr>
  </w:style>
  <w:style w:type="character" w:customStyle="1" w:styleId="63">
    <w:name w:val="不明显强调1"/>
    <w:basedOn w:val="46"/>
    <w:qFormat/>
    <w:uiPriority w:val="0"/>
    <w:rPr>
      <w:i/>
      <w:iCs/>
      <w:color w:val="404040" w:themeColor="text1" w:themeTint="BF"/>
      <w14:textFill>
        <w14:solidFill>
          <w14:schemeClr w14:val="tx1">
            <w14:lumMod w14:val="75000"/>
            <w14:lumOff w14:val="25000"/>
          </w14:schemeClr>
        </w14:solidFill>
      </w14:textFill>
    </w:rPr>
  </w:style>
  <w:style w:type="paragraph" w:customStyle="1" w:styleId="64">
    <w:name w:val="TOC 标题1"/>
    <w:basedOn w:val="2"/>
    <w:next w:val="1"/>
    <w:unhideWhenUsed/>
    <w:qFormat/>
    <w:uiPriority w:val="39"/>
    <w:pPr>
      <w:keepNext/>
      <w:keepLines/>
      <w:widowControl/>
      <w:tabs>
        <w:tab w:val="clear" w:pos="3261"/>
        <w:tab w:val="clear" w:pos="4536"/>
      </w:tabs>
      <w:spacing w:line="259" w:lineRule="auto"/>
      <w:jc w:val="left"/>
      <w:outlineLvl w:val="9"/>
    </w:pPr>
    <w:rPr>
      <w:rFonts w:asciiTheme="majorHAnsi" w:hAnsiTheme="majorHAnsi" w:eastAsiaTheme="majorEastAsia" w:cstheme="majorBidi"/>
      <w:b w:val="0"/>
      <w:color w:val="2E75B6" w:themeColor="accent1" w:themeShade="BF"/>
      <w:kern w:val="0"/>
      <w:szCs w:val="32"/>
    </w:rPr>
  </w:style>
  <w:style w:type="character" w:customStyle="1" w:styleId="65">
    <w:name w:val="批注文字 Char"/>
    <w:basedOn w:val="46"/>
    <w:link w:val="14"/>
    <w:qFormat/>
    <w:uiPriority w:val="99"/>
    <w:rPr>
      <w:rFonts w:ascii="Times New Roman" w:hAnsi="Times New Roman" w:cs="Times New Roman"/>
      <w:sz w:val="28"/>
      <w:szCs w:val="28"/>
    </w:rPr>
  </w:style>
  <w:style w:type="character" w:customStyle="1" w:styleId="66">
    <w:name w:val="批注主题 Char"/>
    <w:basedOn w:val="65"/>
    <w:link w:val="41"/>
    <w:qFormat/>
    <w:uiPriority w:val="0"/>
    <w:rPr>
      <w:rFonts w:ascii="Times New Roman" w:hAnsi="Times New Roman" w:cs="Times New Roman"/>
      <w:b/>
      <w:bCs/>
      <w:sz w:val="28"/>
      <w:szCs w:val="28"/>
    </w:rPr>
  </w:style>
  <w:style w:type="character" w:customStyle="1" w:styleId="67">
    <w:name w:val="批注框文本 Char"/>
    <w:basedOn w:val="46"/>
    <w:link w:val="25"/>
    <w:qFormat/>
    <w:uiPriority w:val="0"/>
    <w:rPr>
      <w:rFonts w:ascii="Times New Roman" w:hAnsi="Times New Roman" w:cs="Times New Roman"/>
      <w:sz w:val="18"/>
      <w:szCs w:val="18"/>
    </w:rPr>
  </w:style>
  <w:style w:type="character" w:customStyle="1" w:styleId="68">
    <w:name w:val="标题 4 Char"/>
    <w:basedOn w:val="46"/>
    <w:link w:val="5"/>
    <w:qFormat/>
    <w:uiPriority w:val="0"/>
    <w:rPr>
      <w:rFonts w:ascii="Arial" w:hAnsi="Arial" w:eastAsia="黑体" w:cs="Times New Roman"/>
      <w:b/>
      <w:bCs/>
      <w:sz w:val="28"/>
      <w:szCs w:val="28"/>
    </w:rPr>
  </w:style>
  <w:style w:type="character" w:customStyle="1" w:styleId="69">
    <w:name w:val="标题 5 Char"/>
    <w:basedOn w:val="46"/>
    <w:link w:val="6"/>
    <w:qFormat/>
    <w:uiPriority w:val="0"/>
    <w:rPr>
      <w:rFonts w:ascii="Times New Roman" w:hAnsi="Times New Roman" w:cs="Times New Roman"/>
      <w:b/>
      <w:sz w:val="28"/>
      <w:szCs w:val="20"/>
    </w:rPr>
  </w:style>
  <w:style w:type="character" w:customStyle="1" w:styleId="70">
    <w:name w:val="标题 6 Char"/>
    <w:basedOn w:val="46"/>
    <w:link w:val="8"/>
    <w:qFormat/>
    <w:uiPriority w:val="0"/>
    <w:rPr>
      <w:rFonts w:ascii="Arial" w:hAnsi="Arial" w:eastAsia="黑体" w:cs="Times New Roman"/>
      <w:b/>
      <w:sz w:val="24"/>
      <w:szCs w:val="20"/>
    </w:rPr>
  </w:style>
  <w:style w:type="character" w:customStyle="1" w:styleId="71">
    <w:name w:val="标题 7 Char"/>
    <w:basedOn w:val="46"/>
    <w:link w:val="9"/>
    <w:qFormat/>
    <w:uiPriority w:val="0"/>
    <w:rPr>
      <w:rFonts w:ascii="Times New Roman" w:hAnsi="Times New Roman" w:cs="Times New Roman"/>
      <w:b/>
      <w:sz w:val="24"/>
      <w:szCs w:val="20"/>
    </w:rPr>
  </w:style>
  <w:style w:type="character" w:customStyle="1" w:styleId="72">
    <w:name w:val="标题 8 Char"/>
    <w:basedOn w:val="46"/>
    <w:link w:val="10"/>
    <w:qFormat/>
    <w:uiPriority w:val="0"/>
    <w:rPr>
      <w:rFonts w:ascii="Arial" w:hAnsi="Arial" w:eastAsia="黑体" w:cs="Times New Roman"/>
      <w:sz w:val="24"/>
      <w:szCs w:val="20"/>
    </w:rPr>
  </w:style>
  <w:style w:type="character" w:customStyle="1" w:styleId="73">
    <w:name w:val="标题 9 Char"/>
    <w:basedOn w:val="46"/>
    <w:link w:val="11"/>
    <w:qFormat/>
    <w:uiPriority w:val="0"/>
    <w:rPr>
      <w:rFonts w:ascii="Arial" w:hAnsi="Arial" w:eastAsia="黑体" w:cs="Times New Roman"/>
      <w:szCs w:val="20"/>
    </w:rPr>
  </w:style>
  <w:style w:type="character" w:customStyle="1" w:styleId="74">
    <w:name w:val="fontstyle01"/>
    <w:basedOn w:val="46"/>
    <w:qFormat/>
    <w:uiPriority w:val="0"/>
    <w:rPr>
      <w:rFonts w:hint="eastAsia" w:ascii="宋体" w:hAnsi="宋体" w:eastAsia="宋体"/>
      <w:color w:val="3F3F3F"/>
      <w:sz w:val="24"/>
      <w:szCs w:val="24"/>
    </w:rPr>
  </w:style>
  <w:style w:type="character" w:customStyle="1" w:styleId="75">
    <w:name w:val="标题 Char"/>
    <w:basedOn w:val="46"/>
    <w:link w:val="40"/>
    <w:qFormat/>
    <w:uiPriority w:val="0"/>
    <w:rPr>
      <w:rFonts w:ascii="Times New Roman" w:hAnsi="Times New Roman" w:cs="Times New Roman"/>
      <w:b/>
      <w:sz w:val="32"/>
    </w:rPr>
  </w:style>
  <w:style w:type="paragraph" w:customStyle="1" w:styleId="76">
    <w:name w:val="副标题1"/>
    <w:basedOn w:val="1"/>
    <w:next w:val="1"/>
    <w:qFormat/>
    <w:uiPriority w:val="11"/>
    <w:pPr>
      <w:widowControl/>
      <w:tabs>
        <w:tab w:val="clear" w:pos="3261"/>
        <w:tab w:val="clear" w:pos="4536"/>
      </w:tabs>
      <w:spacing w:before="240" w:after="60" w:line="312" w:lineRule="auto"/>
      <w:ind w:firstLine="567" w:firstLineChars="0"/>
      <w:jc w:val="center"/>
      <w:outlineLvl w:val="1"/>
    </w:pPr>
    <w:rPr>
      <w:rFonts w:ascii="等线" w:hAnsi="等线" w:eastAsia="等线"/>
      <w:b/>
      <w:bCs/>
      <w:kern w:val="28"/>
      <w:sz w:val="32"/>
      <w:szCs w:val="32"/>
    </w:rPr>
  </w:style>
  <w:style w:type="character" w:customStyle="1" w:styleId="77">
    <w:name w:val="副标题 Char"/>
    <w:basedOn w:val="46"/>
    <w:link w:val="30"/>
    <w:qFormat/>
    <w:uiPriority w:val="11"/>
    <w:rPr>
      <w:rFonts w:eastAsia="等线"/>
      <w:b/>
      <w:bCs/>
      <w:kern w:val="28"/>
      <w:sz w:val="32"/>
      <w:szCs w:val="32"/>
    </w:rPr>
  </w:style>
  <w:style w:type="table" w:customStyle="1" w:styleId="78">
    <w:name w:val="TableGrid"/>
    <w:qFormat/>
    <w:uiPriority w:val="0"/>
    <w:rPr>
      <w:rFonts w:eastAsia="等线"/>
    </w:rPr>
    <w:tblPr>
      <w:tblLayout w:type="fixed"/>
      <w:tblCellMar>
        <w:top w:w="0" w:type="dxa"/>
        <w:left w:w="0" w:type="dxa"/>
        <w:bottom w:w="0" w:type="dxa"/>
        <w:right w:w="0" w:type="dxa"/>
      </w:tblCellMar>
    </w:tblPr>
  </w:style>
  <w:style w:type="character" w:customStyle="1" w:styleId="79">
    <w:name w:val="unnamed11"/>
    <w:qFormat/>
    <w:uiPriority w:val="0"/>
  </w:style>
  <w:style w:type="character" w:customStyle="1" w:styleId="80">
    <w:name w:val="ry_wz1"/>
    <w:qFormat/>
    <w:uiPriority w:val="0"/>
    <w:rPr>
      <w:b/>
      <w:color w:val="FF0000"/>
      <w:sz w:val="28"/>
    </w:rPr>
  </w:style>
  <w:style w:type="character" w:customStyle="1" w:styleId="81">
    <w:name w:val="style71"/>
    <w:qFormat/>
    <w:uiPriority w:val="0"/>
    <w:rPr>
      <w:color w:val="2CC654"/>
    </w:rPr>
  </w:style>
  <w:style w:type="character" w:customStyle="1" w:styleId="82">
    <w:name w:val="p91"/>
    <w:qFormat/>
    <w:uiPriority w:val="0"/>
    <w:rPr>
      <w:rFonts w:ascii="ˎ̥" w:hAnsi="ˎ̥"/>
      <w:sz w:val="18"/>
    </w:rPr>
  </w:style>
  <w:style w:type="character" w:customStyle="1" w:styleId="83">
    <w:name w:val="H2 Char Char"/>
    <w:qFormat/>
    <w:uiPriority w:val="0"/>
    <w:rPr>
      <w:rFonts w:ascii="Arial" w:hAnsi="Arial" w:eastAsia="黑体"/>
      <w:b/>
      <w:kern w:val="2"/>
      <w:sz w:val="32"/>
    </w:rPr>
  </w:style>
  <w:style w:type="character" w:customStyle="1" w:styleId="84">
    <w:name w:val="style81"/>
    <w:qFormat/>
    <w:uiPriority w:val="0"/>
    <w:rPr>
      <w:color w:val="29C854"/>
      <w:sz w:val="18"/>
    </w:rPr>
  </w:style>
  <w:style w:type="character" w:customStyle="1" w:styleId="85">
    <w:name w:val="f12-2001"/>
    <w:qFormat/>
    <w:uiPriority w:val="0"/>
    <w:rPr>
      <w:sz w:val="18"/>
    </w:rPr>
  </w:style>
  <w:style w:type="character" w:customStyle="1" w:styleId="86">
    <w:name w:val="ourfont1"/>
    <w:qFormat/>
    <w:uiPriority w:val="0"/>
    <w:rPr>
      <w:sz w:val="18"/>
    </w:rPr>
  </w:style>
  <w:style w:type="character" w:customStyle="1" w:styleId="87">
    <w:name w:val="style41"/>
    <w:qFormat/>
    <w:uiPriority w:val="0"/>
    <w:rPr>
      <w:rFonts w:ascii="Times New Roman" w:hAnsi="Times New Roman"/>
      <w:sz w:val="21"/>
    </w:rPr>
  </w:style>
  <w:style w:type="character" w:customStyle="1" w:styleId="88">
    <w:name w:val="white1"/>
    <w:qFormat/>
    <w:uiPriority w:val="0"/>
    <w:rPr>
      <w:color w:val="FFFFFF"/>
      <w:sz w:val="18"/>
      <w:szCs w:val="18"/>
      <w:u w:val="none"/>
    </w:rPr>
  </w:style>
  <w:style w:type="character" w:customStyle="1" w:styleId="89">
    <w:name w:val="blue-bold"/>
    <w:qFormat/>
    <w:uiPriority w:val="0"/>
  </w:style>
  <w:style w:type="character" w:customStyle="1" w:styleId="90">
    <w:name w:val="dzfwzq1"/>
    <w:qFormat/>
    <w:uiPriority w:val="0"/>
    <w:rPr>
      <w:rFonts w:ascii="??" w:hAnsi="??"/>
      <w:color w:val="000000"/>
      <w:sz w:val="18"/>
      <w:szCs w:val="18"/>
    </w:rPr>
  </w:style>
  <w:style w:type="character" w:customStyle="1" w:styleId="91">
    <w:name w:val="apple-style-span"/>
    <w:qFormat/>
    <w:uiPriority w:val="0"/>
  </w:style>
  <w:style w:type="character" w:customStyle="1" w:styleId="92">
    <w:name w:val="apple-converted-space"/>
    <w:qFormat/>
    <w:uiPriority w:val="0"/>
  </w:style>
  <w:style w:type="character" w:customStyle="1" w:styleId="93">
    <w:name w:val="md1"/>
    <w:qFormat/>
    <w:uiPriority w:val="0"/>
    <w:rPr>
      <w:b/>
      <w:color w:val="4169E1"/>
      <w:sz w:val="24"/>
    </w:rPr>
  </w:style>
  <w:style w:type="character" w:customStyle="1" w:styleId="94">
    <w:name w:val="nd1"/>
    <w:qFormat/>
    <w:uiPriority w:val="0"/>
    <w:rPr>
      <w:b/>
      <w:color w:val="4169E1"/>
      <w:sz w:val="20"/>
    </w:rPr>
  </w:style>
  <w:style w:type="character" w:customStyle="1" w:styleId="95">
    <w:name w:val="style141"/>
    <w:qFormat/>
    <w:uiPriority w:val="0"/>
    <w:rPr>
      <w:color w:val="00CC66"/>
    </w:rPr>
  </w:style>
  <w:style w:type="character" w:customStyle="1" w:styleId="96">
    <w:name w:val="wz1"/>
    <w:qFormat/>
    <w:uiPriority w:val="0"/>
    <w:rPr>
      <w:b/>
      <w:color w:val="FF0000"/>
      <w:sz w:val="24"/>
    </w:rPr>
  </w:style>
  <w:style w:type="character" w:customStyle="1" w:styleId="97">
    <w:name w:val="aaaa"/>
    <w:qFormat/>
    <w:uiPriority w:val="0"/>
  </w:style>
  <w:style w:type="character" w:customStyle="1" w:styleId="98">
    <w:name w:val="style101"/>
    <w:qFormat/>
    <w:uiPriority w:val="0"/>
    <w:rPr>
      <w:color w:val="2AC756"/>
    </w:rPr>
  </w:style>
  <w:style w:type="character" w:customStyle="1" w:styleId="99">
    <w:name w:val="style121"/>
    <w:qFormat/>
    <w:uiPriority w:val="0"/>
    <w:rPr>
      <w:color w:val="29C854"/>
    </w:rPr>
  </w:style>
  <w:style w:type="character" w:customStyle="1" w:styleId="100">
    <w:name w:val="css11"/>
    <w:qFormat/>
    <w:uiPriority w:val="0"/>
    <w:rPr>
      <w:rFonts w:ascii="ˎ̥" w:hAnsi="ˎ̥"/>
      <w:color w:val="000000"/>
      <w:sz w:val="18"/>
    </w:rPr>
  </w:style>
  <w:style w:type="character" w:customStyle="1" w:styleId="101">
    <w:name w:val="style61"/>
    <w:qFormat/>
    <w:uiPriority w:val="0"/>
    <w:rPr>
      <w:color w:val="2AC752"/>
    </w:rPr>
  </w:style>
  <w:style w:type="character" w:customStyle="1" w:styleId="102">
    <w:name w:val="style111"/>
    <w:qFormat/>
    <w:uiPriority w:val="0"/>
    <w:rPr>
      <w:sz w:val="18"/>
    </w:rPr>
  </w:style>
  <w:style w:type="character" w:customStyle="1" w:styleId="103">
    <w:name w:val="普 Char"/>
    <w:qFormat/>
    <w:uiPriority w:val="0"/>
    <w:rPr>
      <w:rFonts w:ascii="宋体"/>
      <w:kern w:val="2"/>
      <w:sz w:val="21"/>
      <w:szCs w:val="21"/>
    </w:rPr>
  </w:style>
  <w:style w:type="paragraph" w:customStyle="1" w:styleId="104">
    <w:name w:val="xl64"/>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b/>
      <w:kern w:val="0"/>
      <w:sz w:val="20"/>
      <w:szCs w:val="20"/>
    </w:rPr>
  </w:style>
  <w:style w:type="paragraph" w:customStyle="1" w:styleId="105">
    <w:name w:val="xl68"/>
    <w:basedOn w:val="1"/>
    <w:qFormat/>
    <w:uiPriority w:val="0"/>
    <w:pPr>
      <w:widowControl/>
      <w:numPr>
        <w:ilvl w:val="0"/>
        <w:numId w:val="3"/>
      </w:numPr>
      <w:pBdr>
        <w:top w:val="single" w:color="auto" w:sz="4" w:space="0"/>
        <w:left w:val="single" w:color="auto" w:sz="4" w:space="0"/>
        <w:bottom w:val="single" w:color="auto" w:sz="4" w:space="0"/>
        <w:right w:val="single" w:color="auto" w:sz="4" w:space="0"/>
      </w:pBdr>
      <w:tabs>
        <w:tab w:val="clear" w:pos="360"/>
        <w:tab w:val="clear" w:pos="3261"/>
        <w:tab w:val="clear" w:pos="4536"/>
      </w:tabs>
      <w:spacing w:before="100" w:beforeAutospacing="1" w:after="100" w:afterAutospacing="1" w:line="360" w:lineRule="auto"/>
      <w:ind w:left="0" w:firstLine="200" w:firstLineChars="200"/>
      <w:jc w:val="center"/>
    </w:pPr>
    <w:rPr>
      <w:rFonts w:ascii="宋体"/>
      <w:b/>
      <w:kern w:val="0"/>
      <w:sz w:val="20"/>
      <w:szCs w:val="20"/>
    </w:rPr>
  </w:style>
  <w:style w:type="character" w:customStyle="1" w:styleId="106">
    <w:name w:val="文档结构图 Char"/>
    <w:basedOn w:val="46"/>
    <w:link w:val="13"/>
    <w:qFormat/>
    <w:uiPriority w:val="0"/>
    <w:rPr>
      <w:rFonts w:ascii="宋体" w:hAnsi="Times New Roman" w:cs="Times New Roman"/>
      <w:sz w:val="18"/>
      <w:szCs w:val="18"/>
    </w:rPr>
  </w:style>
  <w:style w:type="paragraph" w:customStyle="1" w:styleId="107">
    <w:name w:val="font6"/>
    <w:basedOn w:val="1"/>
    <w:qFormat/>
    <w:uiPriority w:val="0"/>
    <w:pPr>
      <w:widowControl/>
      <w:tabs>
        <w:tab w:val="clear" w:pos="3261"/>
        <w:tab w:val="clear" w:pos="4536"/>
      </w:tabs>
      <w:spacing w:before="100" w:beforeAutospacing="1" w:after="100" w:afterAutospacing="1"/>
      <w:ind w:firstLine="0" w:firstLineChars="0"/>
      <w:jc w:val="left"/>
    </w:pPr>
    <w:rPr>
      <w:rFonts w:ascii="宋体"/>
      <w:kern w:val="0"/>
      <w:sz w:val="20"/>
      <w:szCs w:val="20"/>
    </w:rPr>
  </w:style>
  <w:style w:type="paragraph" w:customStyle="1" w:styleId="108">
    <w:name w:val="xl61"/>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kern w:val="0"/>
      <w:sz w:val="20"/>
      <w:szCs w:val="20"/>
    </w:rPr>
  </w:style>
  <w:style w:type="paragraph" w:customStyle="1" w:styleId="109">
    <w:name w:val="xl5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clear" w:pos="3261"/>
        <w:tab w:val="clear" w:pos="4536"/>
      </w:tabs>
      <w:spacing w:before="100" w:beforeAutospacing="1" w:after="100" w:afterAutospacing="1" w:line="360" w:lineRule="auto"/>
      <w:ind w:firstLine="200" w:firstLineChars="200"/>
      <w:jc w:val="center"/>
    </w:pPr>
    <w:rPr>
      <w:rFonts w:ascii="宋体"/>
      <w:b/>
      <w:kern w:val="0"/>
      <w:sz w:val="20"/>
      <w:szCs w:val="20"/>
    </w:rPr>
  </w:style>
  <w:style w:type="paragraph" w:customStyle="1" w:styleId="110">
    <w:name w:val="font5"/>
    <w:basedOn w:val="1"/>
    <w:qFormat/>
    <w:uiPriority w:val="0"/>
    <w:pPr>
      <w:widowControl/>
      <w:numPr>
        <w:ilvl w:val="0"/>
        <w:numId w:val="4"/>
      </w:numPr>
      <w:tabs>
        <w:tab w:val="clear" w:pos="780"/>
        <w:tab w:val="clear" w:pos="3261"/>
        <w:tab w:val="clear" w:pos="4536"/>
      </w:tabs>
      <w:spacing w:before="100" w:beforeAutospacing="1" w:after="100" w:afterAutospacing="1"/>
      <w:ind w:left="0" w:firstLine="0" w:firstLineChars="0"/>
      <w:jc w:val="left"/>
    </w:pPr>
    <w:rPr>
      <w:rFonts w:ascii="宋体"/>
      <w:kern w:val="0"/>
      <w:sz w:val="18"/>
      <w:szCs w:val="18"/>
    </w:rPr>
  </w:style>
  <w:style w:type="character" w:customStyle="1" w:styleId="111">
    <w:name w:val="尾注文本 Char"/>
    <w:basedOn w:val="46"/>
    <w:link w:val="24"/>
    <w:qFormat/>
    <w:uiPriority w:val="0"/>
    <w:rPr>
      <w:rFonts w:ascii="Times New Roman" w:hAnsi="Times New Roman" w:cs="Times New Roman"/>
      <w:kern w:val="0"/>
      <w:sz w:val="22"/>
      <w:szCs w:val="20"/>
    </w:rPr>
  </w:style>
  <w:style w:type="paragraph" w:customStyle="1" w:styleId="112">
    <w:name w:val="af15hichaf0dbchf15cgrid"/>
    <w:qFormat/>
    <w:uiPriority w:val="0"/>
    <w:pPr>
      <w:widowControl w:val="0"/>
      <w:numPr>
        <w:ilvl w:val="0"/>
        <w:numId w:val="5"/>
      </w:numPr>
      <w:tabs>
        <w:tab w:val="clear" w:pos="780"/>
      </w:tabs>
      <w:adjustRightInd w:val="0"/>
      <w:spacing w:line="315" w:lineRule="atLeast"/>
      <w:ind w:left="0" w:firstLine="0"/>
      <w:jc w:val="center"/>
      <w:textAlignment w:val="baseline"/>
    </w:pPr>
    <w:rPr>
      <w:rFonts w:ascii="宋体" w:hAnsi="Times New Roman" w:eastAsia="宋体" w:cs="Times New Roman"/>
      <w:sz w:val="21"/>
      <w:lang w:val="en-US" w:eastAsia="zh-CN" w:bidi="ar-SA"/>
    </w:rPr>
  </w:style>
  <w:style w:type="paragraph" w:customStyle="1" w:styleId="113">
    <w:name w:val="xl71"/>
    <w:basedOn w:val="1"/>
    <w:qFormat/>
    <w:uiPriority w:val="0"/>
    <w:pPr>
      <w:widowControl/>
      <w:numPr>
        <w:ilvl w:val="0"/>
        <w:numId w:val="6"/>
      </w:numPr>
      <w:pBdr>
        <w:top w:val="single" w:color="auto" w:sz="4" w:space="0"/>
        <w:left w:val="single" w:color="auto" w:sz="4" w:space="0"/>
        <w:bottom w:val="single" w:color="auto" w:sz="4" w:space="0"/>
        <w:right w:val="single" w:color="auto" w:sz="4" w:space="0"/>
      </w:pBdr>
      <w:shd w:val="clear" w:color="auto" w:fill="FFFFFF"/>
      <w:tabs>
        <w:tab w:val="clear" w:pos="1620"/>
        <w:tab w:val="clear" w:pos="3261"/>
        <w:tab w:val="clear" w:pos="4536"/>
      </w:tabs>
      <w:spacing w:before="100" w:beforeAutospacing="1" w:after="100" w:afterAutospacing="1" w:line="360" w:lineRule="auto"/>
      <w:ind w:left="0" w:firstLine="200" w:firstLineChars="200"/>
      <w:jc w:val="center"/>
    </w:pPr>
    <w:rPr>
      <w:rFonts w:ascii="宋体"/>
      <w:b/>
      <w:kern w:val="0"/>
      <w:sz w:val="20"/>
      <w:szCs w:val="20"/>
    </w:rPr>
  </w:style>
  <w:style w:type="paragraph" w:customStyle="1" w:styleId="114">
    <w:name w:val="xl39"/>
    <w:basedOn w:val="1"/>
    <w:qFormat/>
    <w:uiPriority w:val="0"/>
    <w:pPr>
      <w:widowControl/>
      <w:numPr>
        <w:ilvl w:val="0"/>
        <w:numId w:val="7"/>
      </w:numPr>
      <w:pBdr>
        <w:top w:val="single" w:color="auto" w:sz="4" w:space="0"/>
        <w:left w:val="single" w:color="auto" w:sz="4" w:space="0"/>
        <w:bottom w:val="single" w:color="auto" w:sz="4" w:space="0"/>
        <w:right w:val="single" w:color="auto" w:sz="4" w:space="0"/>
      </w:pBdr>
      <w:tabs>
        <w:tab w:val="clear" w:pos="2040"/>
        <w:tab w:val="clear" w:pos="3261"/>
        <w:tab w:val="clear" w:pos="4536"/>
      </w:tabs>
      <w:spacing w:before="100" w:beforeAutospacing="1" w:after="100" w:afterAutospacing="1"/>
      <w:ind w:left="0" w:firstLine="0" w:firstLineChars="0"/>
      <w:jc w:val="center"/>
      <w:textAlignment w:val="center"/>
    </w:pPr>
    <w:rPr>
      <w:rFonts w:ascii="Arial Unicode MS" w:hAnsi="Arial Unicode MS"/>
      <w:kern w:val="0"/>
      <w:sz w:val="20"/>
      <w:szCs w:val="20"/>
    </w:rPr>
  </w:style>
  <w:style w:type="paragraph" w:customStyle="1" w:styleId="115">
    <w:name w:val="Char"/>
    <w:basedOn w:val="1"/>
    <w:qFormat/>
    <w:uiPriority w:val="0"/>
    <w:pPr>
      <w:tabs>
        <w:tab w:val="clear" w:pos="3261"/>
        <w:tab w:val="clear" w:pos="4536"/>
      </w:tabs>
      <w:spacing w:line="360" w:lineRule="auto"/>
      <w:ind w:firstLine="0" w:firstLineChars="0"/>
    </w:pPr>
    <w:rPr>
      <w:rFonts w:ascii="Tahoma" w:hAnsi="Tahoma"/>
      <w:szCs w:val="20"/>
    </w:rPr>
  </w:style>
  <w:style w:type="paragraph" w:customStyle="1" w:styleId="116">
    <w:name w:val="xl32"/>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ind w:firstLine="0" w:firstLineChars="0"/>
      <w:jc w:val="left"/>
    </w:pPr>
    <w:rPr>
      <w:rFonts w:ascii="宋体"/>
      <w:kern w:val="0"/>
      <w:sz w:val="20"/>
      <w:szCs w:val="20"/>
    </w:rPr>
  </w:style>
  <w:style w:type="character" w:customStyle="1" w:styleId="117">
    <w:name w:val="日期 Char"/>
    <w:basedOn w:val="46"/>
    <w:link w:val="22"/>
    <w:qFormat/>
    <w:uiPriority w:val="99"/>
    <w:rPr>
      <w:rFonts w:ascii="Times New Roman" w:hAnsi="Times New Roman" w:cs="Times New Roman"/>
      <w:sz w:val="28"/>
      <w:szCs w:val="20"/>
    </w:rPr>
  </w:style>
  <w:style w:type="paragraph" w:customStyle="1" w:styleId="118">
    <w:name w:val="尾注文本1"/>
    <w:basedOn w:val="24"/>
    <w:next w:val="24"/>
    <w:qFormat/>
    <w:uiPriority w:val="0"/>
    <w:pPr>
      <w:spacing w:before="60" w:line="240" w:lineRule="auto"/>
    </w:pPr>
    <w:rPr>
      <w:sz w:val="18"/>
    </w:rPr>
  </w:style>
  <w:style w:type="paragraph" w:customStyle="1" w:styleId="119">
    <w:name w:val="表格文字1"/>
    <w:basedOn w:val="1"/>
    <w:qFormat/>
    <w:uiPriority w:val="0"/>
    <w:pPr>
      <w:tabs>
        <w:tab w:val="clear" w:pos="3261"/>
        <w:tab w:val="clear" w:pos="4536"/>
      </w:tabs>
      <w:autoSpaceDE w:val="0"/>
      <w:autoSpaceDN w:val="0"/>
      <w:adjustRightInd w:val="0"/>
      <w:spacing w:line="360" w:lineRule="auto"/>
      <w:ind w:firstLine="200" w:firstLineChars="200"/>
      <w:jc w:val="center"/>
      <w:textAlignment w:val="baseline"/>
    </w:pPr>
    <w:rPr>
      <w:kern w:val="0"/>
      <w:sz w:val="18"/>
      <w:szCs w:val="20"/>
    </w:rPr>
  </w:style>
  <w:style w:type="paragraph" w:customStyle="1" w:styleId="120">
    <w:name w:val="标题4"/>
    <w:basedOn w:val="1"/>
    <w:qFormat/>
    <w:uiPriority w:val="0"/>
    <w:pPr>
      <w:tabs>
        <w:tab w:val="clear" w:pos="3261"/>
        <w:tab w:val="clear" w:pos="4536"/>
      </w:tabs>
      <w:autoSpaceDE w:val="0"/>
      <w:autoSpaceDN w:val="0"/>
      <w:adjustRightInd w:val="0"/>
      <w:spacing w:line="360" w:lineRule="auto"/>
      <w:ind w:firstLine="200" w:firstLineChars="200"/>
    </w:pPr>
    <w:rPr>
      <w:rFonts w:ascii="宋体"/>
      <w:kern w:val="0"/>
      <w:szCs w:val="20"/>
    </w:rPr>
  </w:style>
  <w:style w:type="paragraph" w:customStyle="1" w:styleId="121">
    <w:name w:val="xl28"/>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ind w:firstLine="0" w:firstLineChars="0"/>
      <w:jc w:val="center"/>
      <w:textAlignment w:val="center"/>
    </w:pPr>
    <w:rPr>
      <w:kern w:val="0"/>
      <w:sz w:val="20"/>
      <w:szCs w:val="20"/>
    </w:rPr>
  </w:style>
  <w:style w:type="paragraph" w:customStyle="1" w:styleId="122">
    <w:name w:val="样式5"/>
    <w:basedOn w:val="1"/>
    <w:qFormat/>
    <w:uiPriority w:val="0"/>
    <w:pPr>
      <w:tabs>
        <w:tab w:val="clear" w:pos="3261"/>
        <w:tab w:val="clear" w:pos="4536"/>
      </w:tabs>
      <w:autoSpaceDE w:val="0"/>
      <w:autoSpaceDN w:val="0"/>
      <w:adjustRightInd w:val="0"/>
      <w:spacing w:line="288" w:lineRule="auto"/>
      <w:ind w:firstLine="561" w:firstLineChars="0"/>
    </w:pPr>
    <w:rPr>
      <w:rFonts w:ascii="宋体"/>
      <w:kern w:val="0"/>
      <w:szCs w:val="20"/>
    </w:rPr>
  </w:style>
  <w:style w:type="paragraph" w:customStyle="1" w:styleId="123">
    <w:name w:val="style11"/>
    <w:basedOn w:val="1"/>
    <w:qFormat/>
    <w:uiPriority w:val="0"/>
    <w:pPr>
      <w:widowControl/>
      <w:tabs>
        <w:tab w:val="clear" w:pos="3261"/>
        <w:tab w:val="clear" w:pos="4536"/>
      </w:tabs>
      <w:spacing w:before="100" w:beforeAutospacing="1" w:after="100" w:afterAutospacing="1"/>
      <w:ind w:firstLine="0" w:firstLineChars="0"/>
      <w:jc w:val="left"/>
    </w:pPr>
    <w:rPr>
      <w:rFonts w:ascii="宋体"/>
      <w:kern w:val="0"/>
      <w:sz w:val="18"/>
      <w:szCs w:val="20"/>
    </w:rPr>
  </w:style>
  <w:style w:type="paragraph" w:customStyle="1" w:styleId="124">
    <w:name w:val="正文文本缩进 31"/>
    <w:basedOn w:val="1"/>
    <w:qFormat/>
    <w:uiPriority w:val="0"/>
    <w:pPr>
      <w:tabs>
        <w:tab w:val="clear" w:pos="3261"/>
        <w:tab w:val="clear" w:pos="4536"/>
      </w:tabs>
      <w:adjustRightInd w:val="0"/>
      <w:spacing w:line="360" w:lineRule="auto"/>
      <w:ind w:right="17" w:firstLine="200" w:firstLineChars="200"/>
      <w:textAlignment w:val="baseline"/>
    </w:pPr>
    <w:rPr>
      <w:rFonts w:ascii="宋体"/>
      <w:kern w:val="0"/>
      <w:sz w:val="30"/>
      <w:szCs w:val="20"/>
    </w:rPr>
  </w:style>
  <w:style w:type="paragraph" w:customStyle="1" w:styleId="125">
    <w:name w:val="Char Char Char"/>
    <w:basedOn w:val="1"/>
    <w:qFormat/>
    <w:uiPriority w:val="0"/>
    <w:pPr>
      <w:widowControl/>
      <w:tabs>
        <w:tab w:val="clear" w:pos="3261"/>
        <w:tab w:val="clear" w:pos="4536"/>
      </w:tabs>
      <w:spacing w:after="160" w:line="240" w:lineRule="exact"/>
      <w:ind w:firstLine="0" w:firstLineChars="0"/>
      <w:jc w:val="left"/>
    </w:pPr>
    <w:rPr>
      <w:sz w:val="21"/>
      <w:szCs w:val="24"/>
    </w:rPr>
  </w:style>
  <w:style w:type="paragraph" w:customStyle="1" w:styleId="126">
    <w:name w:val="样式2"/>
    <w:basedOn w:val="1"/>
    <w:qFormat/>
    <w:uiPriority w:val="0"/>
    <w:pPr>
      <w:tabs>
        <w:tab w:val="clear" w:pos="3261"/>
        <w:tab w:val="clear" w:pos="4536"/>
      </w:tabs>
      <w:ind w:firstLine="0" w:firstLineChars="0"/>
      <w:jc w:val="center"/>
    </w:pPr>
    <w:rPr>
      <w:rFonts w:ascii="宋体"/>
      <w:b/>
      <w:color w:val="000000"/>
      <w:szCs w:val="20"/>
    </w:rPr>
  </w:style>
  <w:style w:type="paragraph" w:customStyle="1" w:styleId="127">
    <w:name w:val="xl74"/>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kern w:val="0"/>
      <w:sz w:val="20"/>
      <w:szCs w:val="20"/>
    </w:rPr>
  </w:style>
  <w:style w:type="paragraph" w:customStyle="1" w:styleId="128">
    <w:name w:val="xl35"/>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ind w:firstLine="0" w:firstLineChars="0"/>
      <w:jc w:val="left"/>
      <w:textAlignment w:val="center"/>
    </w:pPr>
    <w:rPr>
      <w:rFonts w:ascii="宋体"/>
      <w:kern w:val="0"/>
      <w:sz w:val="20"/>
      <w:szCs w:val="20"/>
    </w:rPr>
  </w:style>
  <w:style w:type="character" w:customStyle="1" w:styleId="129">
    <w:name w:val="正文文本缩进 2 Char"/>
    <w:basedOn w:val="46"/>
    <w:link w:val="23"/>
    <w:qFormat/>
    <w:uiPriority w:val="0"/>
    <w:rPr>
      <w:rFonts w:ascii="Times New Roman" w:hAnsi="Times New Roman" w:cs="Times New Roman"/>
      <w:color w:val="993366"/>
      <w:szCs w:val="24"/>
    </w:rPr>
  </w:style>
  <w:style w:type="paragraph" w:customStyle="1" w:styleId="130">
    <w:name w:val="简单回函地址"/>
    <w:basedOn w:val="1"/>
    <w:qFormat/>
    <w:uiPriority w:val="0"/>
    <w:pPr>
      <w:tabs>
        <w:tab w:val="clear" w:pos="3261"/>
        <w:tab w:val="clear" w:pos="4536"/>
      </w:tabs>
      <w:spacing w:line="360" w:lineRule="auto"/>
      <w:ind w:firstLine="200" w:firstLineChars="200"/>
    </w:pPr>
    <w:rPr>
      <w:szCs w:val="24"/>
    </w:rPr>
  </w:style>
  <w:style w:type="paragraph" w:customStyle="1" w:styleId="131">
    <w:name w:val="Char Char Char Char Char Char Char"/>
    <w:basedOn w:val="1"/>
    <w:qFormat/>
    <w:uiPriority w:val="0"/>
    <w:pPr>
      <w:tabs>
        <w:tab w:val="clear" w:pos="3261"/>
        <w:tab w:val="clear" w:pos="4536"/>
      </w:tabs>
      <w:ind w:firstLine="0" w:firstLineChars="0"/>
    </w:pPr>
    <w:rPr>
      <w:rFonts w:eastAsia="仿宋_GB2312"/>
      <w:szCs w:val="20"/>
    </w:rPr>
  </w:style>
  <w:style w:type="paragraph" w:customStyle="1" w:styleId="132">
    <w:name w:val="文本块1"/>
    <w:basedOn w:val="1"/>
    <w:qFormat/>
    <w:uiPriority w:val="0"/>
    <w:pPr>
      <w:tabs>
        <w:tab w:val="clear" w:pos="3261"/>
        <w:tab w:val="clear" w:pos="4536"/>
      </w:tabs>
      <w:adjustRightInd w:val="0"/>
      <w:spacing w:line="360" w:lineRule="auto"/>
      <w:ind w:left="-898" w:right="-1048" w:firstLine="200" w:firstLineChars="200"/>
      <w:textAlignment w:val="baseline"/>
    </w:pPr>
    <w:rPr>
      <w:rFonts w:ascii="宋体"/>
      <w:kern w:val="0"/>
      <w:sz w:val="36"/>
      <w:szCs w:val="20"/>
    </w:rPr>
  </w:style>
  <w:style w:type="character" w:customStyle="1" w:styleId="133">
    <w:name w:val="纯文本 Char"/>
    <w:basedOn w:val="46"/>
    <w:link w:val="20"/>
    <w:qFormat/>
    <w:uiPriority w:val="0"/>
    <w:rPr>
      <w:rFonts w:ascii="宋体" w:hAnsi="Times New Roman" w:cs="Times New Roman"/>
      <w:sz w:val="24"/>
      <w:szCs w:val="20"/>
    </w:rPr>
  </w:style>
  <w:style w:type="paragraph" w:customStyle="1" w:styleId="134">
    <w:name w:val="xl55"/>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b/>
      <w:kern w:val="0"/>
      <w:sz w:val="20"/>
      <w:szCs w:val="20"/>
    </w:rPr>
  </w:style>
  <w:style w:type="paragraph" w:customStyle="1" w:styleId="135">
    <w:name w:val="xl29"/>
    <w:basedOn w:val="1"/>
    <w:qFormat/>
    <w:uiPriority w:val="0"/>
    <w:pPr>
      <w:widowControl/>
      <w:tabs>
        <w:tab w:val="clear" w:pos="3261"/>
        <w:tab w:val="clear" w:pos="4536"/>
      </w:tabs>
      <w:spacing w:before="100" w:beforeAutospacing="1" w:after="100" w:afterAutospacing="1"/>
      <w:ind w:firstLine="0" w:firstLineChars="0"/>
      <w:jc w:val="left"/>
    </w:pPr>
    <w:rPr>
      <w:rFonts w:ascii="宋体"/>
      <w:kern w:val="0"/>
      <w:sz w:val="24"/>
      <w:szCs w:val="24"/>
    </w:rPr>
  </w:style>
  <w:style w:type="paragraph" w:customStyle="1" w:styleId="136">
    <w:name w:val="font0"/>
    <w:basedOn w:val="1"/>
    <w:qFormat/>
    <w:uiPriority w:val="0"/>
    <w:pPr>
      <w:widowControl/>
      <w:tabs>
        <w:tab w:val="clear" w:pos="3261"/>
        <w:tab w:val="clear" w:pos="4536"/>
      </w:tabs>
      <w:spacing w:before="100" w:beforeAutospacing="1" w:after="100" w:afterAutospacing="1" w:line="360" w:lineRule="auto"/>
      <w:ind w:firstLine="200" w:firstLineChars="200"/>
      <w:jc w:val="left"/>
    </w:pPr>
    <w:rPr>
      <w:kern w:val="0"/>
      <w:sz w:val="24"/>
      <w:szCs w:val="20"/>
    </w:rPr>
  </w:style>
  <w:style w:type="paragraph" w:customStyle="1" w:styleId="137">
    <w:name w:val="xl42"/>
    <w:basedOn w:val="1"/>
    <w:qFormat/>
    <w:uiPriority w:val="0"/>
    <w:pPr>
      <w:widowControl/>
      <w:pBdr>
        <w:top w:val="single" w:color="auto" w:sz="4" w:space="0"/>
        <w:left w:val="single" w:color="auto" w:sz="4" w:space="0"/>
        <w:bottom w:val="single" w:color="auto" w:sz="8" w:space="0"/>
        <w:right w:val="single" w:color="auto" w:sz="8" w:space="0"/>
      </w:pBdr>
      <w:tabs>
        <w:tab w:val="clear" w:pos="3261"/>
        <w:tab w:val="clear" w:pos="4536"/>
      </w:tabs>
      <w:spacing w:before="100" w:beforeAutospacing="1" w:after="100" w:afterAutospacing="1"/>
      <w:ind w:firstLine="0" w:firstLineChars="0"/>
      <w:jc w:val="center"/>
      <w:textAlignment w:val="center"/>
    </w:pPr>
    <w:rPr>
      <w:rFonts w:ascii="Arial Unicode MS" w:hAnsi="Arial Unicode MS"/>
      <w:kern w:val="0"/>
      <w:sz w:val="20"/>
      <w:szCs w:val="20"/>
    </w:rPr>
  </w:style>
  <w:style w:type="paragraph" w:customStyle="1" w:styleId="138">
    <w:name w:val="xl27"/>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ind w:firstLine="0" w:firstLineChars="0"/>
      <w:jc w:val="left"/>
      <w:textAlignment w:val="center"/>
    </w:pPr>
    <w:rPr>
      <w:rFonts w:ascii="宋体"/>
      <w:kern w:val="0"/>
      <w:sz w:val="20"/>
      <w:szCs w:val="20"/>
    </w:rPr>
  </w:style>
  <w:style w:type="paragraph" w:customStyle="1" w:styleId="139">
    <w:name w:val="xl25"/>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ind w:firstLine="0" w:firstLineChars="0"/>
      <w:jc w:val="center"/>
      <w:textAlignment w:val="center"/>
    </w:pPr>
    <w:rPr>
      <w:rFonts w:ascii="宋体"/>
      <w:kern w:val="0"/>
      <w:sz w:val="20"/>
      <w:szCs w:val="20"/>
    </w:rPr>
  </w:style>
  <w:style w:type="paragraph" w:customStyle="1" w:styleId="140">
    <w:name w:val="xl73"/>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b/>
      <w:kern w:val="0"/>
      <w:sz w:val="20"/>
      <w:szCs w:val="20"/>
    </w:rPr>
  </w:style>
  <w:style w:type="paragraph" w:customStyle="1" w:styleId="141">
    <w:name w:val="xl24"/>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ind w:firstLine="0" w:firstLineChars="0"/>
      <w:jc w:val="left"/>
      <w:textAlignment w:val="center"/>
    </w:pPr>
    <w:rPr>
      <w:rFonts w:ascii="宋体"/>
      <w:kern w:val="0"/>
      <w:sz w:val="20"/>
      <w:szCs w:val="20"/>
    </w:rPr>
  </w:style>
  <w:style w:type="paragraph" w:customStyle="1" w:styleId="142">
    <w:name w:val="纯文本1"/>
    <w:basedOn w:val="1"/>
    <w:qFormat/>
    <w:uiPriority w:val="0"/>
    <w:pPr>
      <w:tabs>
        <w:tab w:val="clear" w:pos="3261"/>
        <w:tab w:val="clear" w:pos="4536"/>
      </w:tabs>
      <w:adjustRightInd w:val="0"/>
      <w:spacing w:line="360" w:lineRule="auto"/>
      <w:ind w:firstLine="200" w:firstLineChars="200"/>
      <w:textAlignment w:val="baseline"/>
    </w:pPr>
    <w:rPr>
      <w:rFonts w:ascii="宋体"/>
      <w:kern w:val="0"/>
      <w:szCs w:val="20"/>
    </w:rPr>
  </w:style>
  <w:style w:type="paragraph" w:customStyle="1" w:styleId="143">
    <w:name w:val="标题2"/>
    <w:basedOn w:val="1"/>
    <w:qFormat/>
    <w:uiPriority w:val="0"/>
    <w:pPr>
      <w:keepNext/>
      <w:keepLines/>
      <w:tabs>
        <w:tab w:val="clear" w:pos="3261"/>
        <w:tab w:val="clear" w:pos="4536"/>
      </w:tabs>
      <w:spacing w:before="200" w:after="200"/>
      <w:ind w:firstLine="0" w:firstLineChars="0"/>
      <w:outlineLvl w:val="1"/>
    </w:pPr>
    <w:rPr>
      <w:rFonts w:eastAsia="黑体"/>
      <w:sz w:val="32"/>
      <w:szCs w:val="32"/>
    </w:rPr>
  </w:style>
  <w:style w:type="paragraph" w:customStyle="1" w:styleId="144">
    <w:name w:val="正文文本缩进 21"/>
    <w:basedOn w:val="1"/>
    <w:qFormat/>
    <w:uiPriority w:val="0"/>
    <w:pPr>
      <w:tabs>
        <w:tab w:val="clear" w:pos="3261"/>
        <w:tab w:val="clear" w:pos="4536"/>
      </w:tabs>
      <w:adjustRightInd w:val="0"/>
      <w:spacing w:line="360" w:lineRule="auto"/>
      <w:ind w:left="-105" w:firstLine="200" w:firstLineChars="200"/>
      <w:jc w:val="left"/>
      <w:textAlignment w:val="baseline"/>
    </w:pPr>
    <w:rPr>
      <w:rFonts w:ascii="宋体"/>
      <w:kern w:val="0"/>
      <w:sz w:val="30"/>
      <w:szCs w:val="20"/>
    </w:rPr>
  </w:style>
  <w:style w:type="paragraph" w:customStyle="1" w:styleId="145">
    <w:name w:val="style18"/>
    <w:basedOn w:val="1"/>
    <w:qFormat/>
    <w:uiPriority w:val="0"/>
    <w:pPr>
      <w:widowControl/>
      <w:tabs>
        <w:tab w:val="clear" w:pos="3261"/>
        <w:tab w:val="clear" w:pos="4536"/>
      </w:tabs>
      <w:spacing w:before="100" w:beforeAutospacing="1" w:after="100" w:afterAutospacing="1"/>
      <w:ind w:firstLine="0" w:firstLineChars="0"/>
      <w:jc w:val="left"/>
    </w:pPr>
    <w:rPr>
      <w:rFonts w:ascii="宋体"/>
      <w:kern w:val="0"/>
      <w:sz w:val="18"/>
      <w:szCs w:val="20"/>
    </w:rPr>
  </w:style>
  <w:style w:type="character" w:customStyle="1" w:styleId="146">
    <w:name w:val="正文文本 3 Char"/>
    <w:basedOn w:val="46"/>
    <w:link w:val="15"/>
    <w:qFormat/>
    <w:uiPriority w:val="0"/>
    <w:rPr>
      <w:rFonts w:ascii="隶书" w:hAnsi="Times New Roman" w:eastAsia="隶书" w:cs="Times New Roman"/>
      <w:b/>
      <w:bCs/>
      <w:sz w:val="84"/>
      <w:szCs w:val="21"/>
    </w:rPr>
  </w:style>
  <w:style w:type="paragraph" w:customStyle="1" w:styleId="147">
    <w:name w:val="xl46"/>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left"/>
    </w:pPr>
    <w:rPr>
      <w:rFonts w:ascii="宋体"/>
      <w:color w:val="000000"/>
      <w:kern w:val="0"/>
      <w:sz w:val="20"/>
      <w:szCs w:val="20"/>
    </w:rPr>
  </w:style>
  <w:style w:type="character" w:customStyle="1" w:styleId="148">
    <w:name w:val="正文文本 Char"/>
    <w:basedOn w:val="46"/>
    <w:link w:val="16"/>
    <w:qFormat/>
    <w:uiPriority w:val="0"/>
    <w:rPr>
      <w:rFonts w:ascii="Times New Roman" w:hAnsi="Times New Roman" w:cs="Times New Roman"/>
      <w:sz w:val="28"/>
    </w:rPr>
  </w:style>
  <w:style w:type="character" w:customStyle="1" w:styleId="149">
    <w:name w:val="正文首行缩进 Char"/>
    <w:basedOn w:val="148"/>
    <w:link w:val="42"/>
    <w:qFormat/>
    <w:uiPriority w:val="0"/>
    <w:rPr>
      <w:rFonts w:ascii="Times New Roman" w:hAnsi="Times New Roman" w:cs="Times New Roman"/>
      <w:sz w:val="28"/>
      <w:szCs w:val="24"/>
    </w:rPr>
  </w:style>
  <w:style w:type="paragraph" w:customStyle="1" w:styleId="150">
    <w:name w:val="xl41"/>
    <w:basedOn w:val="1"/>
    <w:qFormat/>
    <w:uiPriority w:val="0"/>
    <w:pPr>
      <w:widowControl/>
      <w:pBdr>
        <w:top w:val="single" w:color="auto" w:sz="4" w:space="0"/>
        <w:left w:val="single" w:color="auto" w:sz="4" w:space="0"/>
        <w:bottom w:val="single" w:color="auto" w:sz="8" w:space="0"/>
        <w:right w:val="single" w:color="auto" w:sz="4" w:space="0"/>
      </w:pBdr>
      <w:tabs>
        <w:tab w:val="clear" w:pos="3261"/>
        <w:tab w:val="clear" w:pos="4536"/>
      </w:tabs>
      <w:spacing w:before="100" w:beforeAutospacing="1" w:after="100" w:afterAutospacing="1"/>
      <w:ind w:firstLine="0" w:firstLineChars="0"/>
      <w:jc w:val="center"/>
      <w:textAlignment w:val="center"/>
    </w:pPr>
    <w:rPr>
      <w:rFonts w:ascii="Arial Unicode MS" w:hAnsi="Arial Unicode MS"/>
      <w:kern w:val="0"/>
      <w:sz w:val="20"/>
      <w:szCs w:val="20"/>
    </w:rPr>
  </w:style>
  <w:style w:type="paragraph" w:customStyle="1" w:styleId="151">
    <w:name w:val="xl69"/>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kern w:val="0"/>
      <w:sz w:val="20"/>
      <w:szCs w:val="20"/>
    </w:rPr>
  </w:style>
  <w:style w:type="paragraph" w:customStyle="1" w:styleId="152">
    <w:name w:val="xl26"/>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ind w:firstLine="0" w:firstLineChars="0"/>
      <w:jc w:val="left"/>
      <w:textAlignment w:val="center"/>
    </w:pPr>
    <w:rPr>
      <w:rFonts w:ascii="宋体"/>
      <w:kern w:val="0"/>
      <w:sz w:val="20"/>
      <w:szCs w:val="20"/>
    </w:rPr>
  </w:style>
  <w:style w:type="paragraph" w:customStyle="1" w:styleId="153">
    <w:name w:val="xl31"/>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ind w:firstLine="0" w:firstLineChars="0"/>
      <w:jc w:val="left"/>
      <w:textAlignment w:val="center"/>
    </w:pPr>
    <w:rPr>
      <w:rFonts w:ascii="宋体"/>
      <w:kern w:val="0"/>
      <w:sz w:val="20"/>
      <w:szCs w:val="20"/>
    </w:rPr>
  </w:style>
  <w:style w:type="paragraph" w:customStyle="1" w:styleId="154">
    <w:name w:val="font7"/>
    <w:basedOn w:val="1"/>
    <w:qFormat/>
    <w:uiPriority w:val="0"/>
    <w:pPr>
      <w:widowControl/>
      <w:tabs>
        <w:tab w:val="clear" w:pos="3261"/>
        <w:tab w:val="clear" w:pos="4536"/>
      </w:tabs>
      <w:spacing w:before="100" w:beforeAutospacing="1" w:after="100" w:afterAutospacing="1"/>
      <w:ind w:firstLine="0" w:firstLineChars="0"/>
      <w:jc w:val="left"/>
    </w:pPr>
    <w:rPr>
      <w:kern w:val="0"/>
      <w:sz w:val="20"/>
      <w:szCs w:val="20"/>
    </w:rPr>
  </w:style>
  <w:style w:type="paragraph" w:customStyle="1" w:styleId="155">
    <w:name w:val="xl54"/>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kern w:val="0"/>
      <w:sz w:val="20"/>
      <w:szCs w:val="20"/>
    </w:rPr>
  </w:style>
  <w:style w:type="paragraph" w:customStyle="1" w:styleId="156">
    <w:name w:val="xl34"/>
    <w:basedOn w:val="1"/>
    <w:qFormat/>
    <w:uiPriority w:val="0"/>
    <w:pPr>
      <w:widowControl/>
      <w:tabs>
        <w:tab w:val="clear" w:pos="3261"/>
        <w:tab w:val="clear" w:pos="4536"/>
      </w:tabs>
      <w:spacing w:before="100" w:beforeAutospacing="1" w:after="100" w:afterAutospacing="1"/>
      <w:ind w:firstLine="0" w:firstLineChars="0"/>
      <w:jc w:val="center"/>
    </w:pPr>
    <w:rPr>
      <w:rFonts w:ascii="宋体"/>
      <w:b/>
      <w:bCs/>
      <w:kern w:val="0"/>
      <w:sz w:val="32"/>
      <w:szCs w:val="32"/>
    </w:rPr>
  </w:style>
  <w:style w:type="paragraph" w:customStyle="1" w:styleId="157">
    <w:name w:val="样式 样式 +中文正文 黑色 首行缩进:  0.35 厘米 + 左侧:  2 字符"/>
    <w:basedOn w:val="16"/>
    <w:qFormat/>
    <w:uiPriority w:val="0"/>
    <w:pPr>
      <w:widowControl w:val="0"/>
      <w:spacing w:after="0" w:line="240" w:lineRule="auto"/>
      <w:ind w:left="560" w:firstLine="0"/>
    </w:pPr>
    <w:rPr>
      <w:rFonts w:ascii="宋体"/>
      <w:szCs w:val="20"/>
    </w:rPr>
  </w:style>
  <w:style w:type="paragraph" w:customStyle="1" w:styleId="158">
    <w:name w:val="xl60"/>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b/>
      <w:kern w:val="0"/>
      <w:sz w:val="20"/>
      <w:szCs w:val="20"/>
    </w:rPr>
  </w:style>
  <w:style w:type="paragraph" w:customStyle="1" w:styleId="159">
    <w:name w:val="xl37"/>
    <w:basedOn w:val="1"/>
    <w:qFormat/>
    <w:uiPriority w:val="0"/>
    <w:pPr>
      <w:widowControl/>
      <w:pBdr>
        <w:bottom w:val="single" w:color="auto" w:sz="8" w:space="0"/>
        <w:right w:val="single" w:color="auto" w:sz="8" w:space="0"/>
      </w:pBdr>
      <w:tabs>
        <w:tab w:val="clear" w:pos="3261"/>
        <w:tab w:val="clear" w:pos="4536"/>
      </w:tabs>
      <w:spacing w:before="100" w:beforeAutospacing="1" w:after="100" w:afterAutospacing="1"/>
      <w:ind w:firstLine="0" w:firstLineChars="0"/>
    </w:pPr>
    <w:rPr>
      <w:rFonts w:ascii="宋体"/>
      <w:kern w:val="0"/>
      <w:sz w:val="20"/>
      <w:szCs w:val="20"/>
    </w:rPr>
  </w:style>
  <w:style w:type="character" w:customStyle="1" w:styleId="160">
    <w:name w:val="正文首行缩进 2 Char"/>
    <w:basedOn w:val="60"/>
    <w:link w:val="43"/>
    <w:qFormat/>
    <w:uiPriority w:val="0"/>
    <w:rPr>
      <w:rFonts w:ascii="Times New Roman" w:hAnsi="Times New Roman" w:cs="Times New Roman"/>
      <w:sz w:val="28"/>
      <w:szCs w:val="24"/>
    </w:rPr>
  </w:style>
  <w:style w:type="character" w:customStyle="1" w:styleId="161">
    <w:name w:val="正文文本缩进 3 Char"/>
    <w:basedOn w:val="46"/>
    <w:link w:val="34"/>
    <w:qFormat/>
    <w:uiPriority w:val="0"/>
    <w:rPr>
      <w:rFonts w:ascii="宋体" w:hAnsi="Times New Roman" w:cs="Times New Roman"/>
      <w:sz w:val="32"/>
      <w:szCs w:val="24"/>
    </w:rPr>
  </w:style>
  <w:style w:type="paragraph" w:customStyle="1" w:styleId="162">
    <w:name w:val="Char Char Char Char"/>
    <w:basedOn w:val="1"/>
    <w:qFormat/>
    <w:uiPriority w:val="0"/>
    <w:pPr>
      <w:tabs>
        <w:tab w:val="clear" w:pos="3261"/>
        <w:tab w:val="clear" w:pos="4536"/>
      </w:tabs>
      <w:ind w:firstLine="0" w:firstLineChars="0"/>
    </w:pPr>
    <w:rPr>
      <w:rFonts w:ascii="Tahoma" w:hAnsi="Tahoma"/>
      <w:sz w:val="24"/>
      <w:szCs w:val="20"/>
    </w:rPr>
  </w:style>
  <w:style w:type="character" w:customStyle="1" w:styleId="163">
    <w:name w:val="正文文本 2 Char"/>
    <w:basedOn w:val="46"/>
    <w:link w:val="37"/>
    <w:qFormat/>
    <w:uiPriority w:val="0"/>
    <w:rPr>
      <w:rFonts w:ascii="Times New Roman" w:hAnsi="Times New Roman" w:cs="Times New Roman"/>
      <w:sz w:val="24"/>
      <w:szCs w:val="20"/>
    </w:rPr>
  </w:style>
  <w:style w:type="character" w:customStyle="1" w:styleId="164">
    <w:name w:val="HTML 预设格式 Char"/>
    <w:basedOn w:val="46"/>
    <w:link w:val="38"/>
    <w:qFormat/>
    <w:uiPriority w:val="99"/>
    <w:rPr>
      <w:rFonts w:ascii="Arial Unicode MS" w:hAnsi="Arial Unicode MS" w:eastAsia="Arial Unicode MS" w:cs="Arial Unicode MS"/>
      <w:kern w:val="0"/>
      <w:sz w:val="20"/>
      <w:szCs w:val="20"/>
    </w:rPr>
  </w:style>
  <w:style w:type="paragraph" w:customStyle="1" w:styleId="165">
    <w:name w:val="淏恅"/>
    <w:qFormat/>
    <w:uiPriority w:val="0"/>
    <w:pPr>
      <w:widowControl w:val="0"/>
      <w:kinsoku w:val="0"/>
      <w:wordWrap w:val="0"/>
      <w:autoSpaceDE w:val="0"/>
      <w:autoSpaceDN w:val="0"/>
      <w:adjustRightInd w:val="0"/>
    </w:pPr>
    <w:rPr>
      <w:rFonts w:ascii="冼极" w:hAnsi="Times New Roman" w:eastAsia="冼极" w:cs="Times New Roman"/>
      <w:sz w:val="21"/>
      <w:lang w:val="en-US" w:eastAsia="zh-CN" w:bidi="ar-SA"/>
    </w:rPr>
  </w:style>
  <w:style w:type="paragraph" w:customStyle="1" w:styleId="166">
    <w:name w:val="_Style 19"/>
    <w:basedOn w:val="1"/>
    <w:qFormat/>
    <w:uiPriority w:val="0"/>
    <w:pPr>
      <w:widowControl/>
      <w:tabs>
        <w:tab w:val="clear" w:pos="3261"/>
        <w:tab w:val="clear" w:pos="4536"/>
      </w:tabs>
      <w:spacing w:after="160" w:line="240" w:lineRule="exact"/>
      <w:ind w:firstLine="0" w:firstLineChars="0"/>
      <w:jc w:val="left"/>
    </w:pPr>
    <w:rPr>
      <w:sz w:val="21"/>
      <w:szCs w:val="20"/>
    </w:rPr>
  </w:style>
  <w:style w:type="paragraph" w:customStyle="1" w:styleId="167">
    <w:name w:val="xl30"/>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ind w:firstLine="0" w:firstLineChars="0"/>
      <w:jc w:val="center"/>
      <w:textAlignment w:val="center"/>
    </w:pPr>
    <w:rPr>
      <w:rFonts w:ascii="宋体"/>
      <w:kern w:val="0"/>
      <w:sz w:val="20"/>
      <w:szCs w:val="20"/>
    </w:rPr>
  </w:style>
  <w:style w:type="paragraph" w:customStyle="1" w:styleId="168">
    <w:name w:val="xl53"/>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color w:val="000000"/>
      <w:kern w:val="0"/>
      <w:sz w:val="20"/>
      <w:szCs w:val="20"/>
    </w:rPr>
  </w:style>
  <w:style w:type="paragraph" w:customStyle="1" w:styleId="169">
    <w:name w:val="xl33"/>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ind w:firstLine="0" w:firstLineChars="0"/>
      <w:jc w:val="left"/>
      <w:textAlignment w:val="center"/>
    </w:pPr>
    <w:rPr>
      <w:rFonts w:ascii="宋体"/>
      <w:kern w:val="0"/>
      <w:sz w:val="20"/>
      <w:szCs w:val="20"/>
    </w:rPr>
  </w:style>
  <w:style w:type="paragraph" w:customStyle="1" w:styleId="170">
    <w:name w:val="xl63"/>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b/>
      <w:kern w:val="0"/>
      <w:sz w:val="20"/>
      <w:szCs w:val="20"/>
    </w:rPr>
  </w:style>
  <w:style w:type="paragraph" w:customStyle="1" w:styleId="171">
    <w:name w:val="font8"/>
    <w:basedOn w:val="1"/>
    <w:qFormat/>
    <w:uiPriority w:val="0"/>
    <w:pPr>
      <w:widowControl/>
      <w:tabs>
        <w:tab w:val="clear" w:pos="3261"/>
        <w:tab w:val="clear" w:pos="4536"/>
      </w:tabs>
      <w:spacing w:before="100" w:beforeAutospacing="1" w:after="100" w:afterAutospacing="1"/>
      <w:ind w:firstLine="0" w:firstLineChars="0"/>
      <w:jc w:val="left"/>
    </w:pPr>
    <w:rPr>
      <w:kern w:val="0"/>
      <w:sz w:val="16"/>
      <w:szCs w:val="16"/>
    </w:rPr>
  </w:style>
  <w:style w:type="paragraph" w:customStyle="1" w:styleId="172">
    <w:name w:val="xl5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clear" w:pos="3261"/>
        <w:tab w:val="clear" w:pos="4536"/>
      </w:tabs>
      <w:spacing w:before="100" w:beforeAutospacing="1" w:after="100" w:afterAutospacing="1" w:line="360" w:lineRule="auto"/>
      <w:ind w:firstLine="200" w:firstLineChars="200"/>
      <w:jc w:val="left"/>
    </w:pPr>
    <w:rPr>
      <w:rFonts w:ascii="宋体"/>
      <w:b/>
      <w:kern w:val="0"/>
      <w:sz w:val="20"/>
      <w:szCs w:val="20"/>
    </w:rPr>
  </w:style>
  <w:style w:type="paragraph" w:customStyle="1" w:styleId="173">
    <w:name w:val="xl36"/>
    <w:basedOn w:val="1"/>
    <w:qFormat/>
    <w:uiPriority w:val="0"/>
    <w:pPr>
      <w:widowControl/>
      <w:tabs>
        <w:tab w:val="clear" w:pos="3261"/>
        <w:tab w:val="clear" w:pos="4536"/>
      </w:tabs>
      <w:spacing w:before="100" w:beforeAutospacing="1" w:after="100" w:afterAutospacing="1"/>
      <w:ind w:firstLine="0" w:firstLineChars="0"/>
      <w:jc w:val="right"/>
      <w:textAlignment w:val="center"/>
    </w:pPr>
    <w:rPr>
      <w:kern w:val="0"/>
      <w:sz w:val="16"/>
      <w:szCs w:val="16"/>
    </w:rPr>
  </w:style>
  <w:style w:type="paragraph" w:customStyle="1" w:styleId="174">
    <w:name w:val="正文文本 21"/>
    <w:basedOn w:val="1"/>
    <w:qFormat/>
    <w:uiPriority w:val="0"/>
    <w:pPr>
      <w:tabs>
        <w:tab w:val="clear" w:pos="3261"/>
        <w:tab w:val="clear" w:pos="4536"/>
      </w:tabs>
      <w:adjustRightInd w:val="0"/>
      <w:spacing w:line="360" w:lineRule="atLeast"/>
      <w:ind w:firstLine="200" w:firstLineChars="200"/>
      <w:textAlignment w:val="baseline"/>
    </w:pPr>
    <w:rPr>
      <w:rFonts w:ascii="宋体"/>
      <w:kern w:val="0"/>
      <w:szCs w:val="20"/>
    </w:rPr>
  </w:style>
  <w:style w:type="paragraph" w:customStyle="1" w:styleId="175">
    <w:name w:val="xl38"/>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ind w:firstLine="0" w:firstLineChars="0"/>
      <w:jc w:val="center"/>
      <w:textAlignment w:val="center"/>
    </w:pPr>
    <w:rPr>
      <w:rFonts w:ascii="Arial Unicode MS" w:hAnsi="Arial Unicode MS"/>
      <w:kern w:val="0"/>
      <w:sz w:val="20"/>
      <w:szCs w:val="20"/>
    </w:rPr>
  </w:style>
  <w:style w:type="paragraph" w:customStyle="1" w:styleId="176">
    <w:name w:val="日期1"/>
    <w:basedOn w:val="1"/>
    <w:next w:val="1"/>
    <w:qFormat/>
    <w:uiPriority w:val="0"/>
    <w:pPr>
      <w:tabs>
        <w:tab w:val="clear" w:pos="3261"/>
        <w:tab w:val="clear" w:pos="4536"/>
      </w:tabs>
      <w:adjustRightInd w:val="0"/>
      <w:spacing w:line="360" w:lineRule="auto"/>
      <w:ind w:left="100" w:firstLine="200" w:firstLineChars="200"/>
      <w:textAlignment w:val="baseline"/>
    </w:pPr>
    <w:rPr>
      <w:rFonts w:ascii="宋体"/>
      <w:kern w:val="0"/>
      <w:sz w:val="30"/>
      <w:szCs w:val="20"/>
    </w:rPr>
  </w:style>
  <w:style w:type="paragraph" w:customStyle="1" w:styleId="177">
    <w:name w:val="xl7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clear" w:pos="3261"/>
        <w:tab w:val="clear" w:pos="4536"/>
      </w:tabs>
      <w:spacing w:before="100" w:beforeAutospacing="1" w:after="100" w:afterAutospacing="1" w:line="360" w:lineRule="auto"/>
      <w:ind w:firstLine="200" w:firstLineChars="200"/>
      <w:jc w:val="center"/>
    </w:pPr>
    <w:rPr>
      <w:rFonts w:ascii="宋体"/>
      <w:b/>
      <w:kern w:val="0"/>
      <w:sz w:val="20"/>
      <w:szCs w:val="20"/>
    </w:rPr>
  </w:style>
  <w:style w:type="paragraph" w:customStyle="1" w:styleId="178">
    <w:name w:val="xl40"/>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ind w:firstLine="0" w:firstLineChars="0"/>
      <w:jc w:val="center"/>
      <w:textAlignment w:val="center"/>
    </w:pPr>
    <w:rPr>
      <w:rFonts w:ascii="Arial Unicode MS" w:hAnsi="Arial Unicode MS"/>
      <w:kern w:val="0"/>
      <w:sz w:val="20"/>
      <w:szCs w:val="20"/>
    </w:rPr>
  </w:style>
  <w:style w:type="paragraph" w:customStyle="1" w:styleId="179">
    <w:name w:val="xl56"/>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b/>
      <w:kern w:val="0"/>
      <w:sz w:val="20"/>
      <w:szCs w:val="20"/>
    </w:rPr>
  </w:style>
  <w:style w:type="paragraph" w:customStyle="1" w:styleId="180">
    <w:name w:val="0"/>
    <w:basedOn w:val="1"/>
    <w:qFormat/>
    <w:uiPriority w:val="0"/>
    <w:pPr>
      <w:widowControl/>
      <w:tabs>
        <w:tab w:val="clear" w:pos="3261"/>
        <w:tab w:val="clear" w:pos="4536"/>
      </w:tabs>
      <w:snapToGrid w:val="0"/>
      <w:ind w:firstLine="0" w:firstLineChars="0"/>
    </w:pPr>
    <w:rPr>
      <w:kern w:val="0"/>
      <w:sz w:val="21"/>
      <w:szCs w:val="21"/>
    </w:rPr>
  </w:style>
  <w:style w:type="paragraph" w:customStyle="1" w:styleId="181">
    <w:name w:val="font148px"/>
    <w:basedOn w:val="1"/>
    <w:qFormat/>
    <w:uiPriority w:val="0"/>
    <w:pPr>
      <w:widowControl/>
      <w:tabs>
        <w:tab w:val="clear" w:pos="3261"/>
        <w:tab w:val="clear" w:pos="4536"/>
      </w:tabs>
      <w:spacing w:before="100" w:beforeAutospacing="1" w:after="100" w:afterAutospacing="1" w:line="257" w:lineRule="atLeast"/>
      <w:ind w:firstLine="200" w:firstLineChars="200"/>
      <w:jc w:val="left"/>
    </w:pPr>
    <w:rPr>
      <w:rFonts w:ascii="Arial Narrow" w:hAnsi="Arial Narrow"/>
      <w:kern w:val="0"/>
      <w:sz w:val="20"/>
      <w:szCs w:val="20"/>
    </w:rPr>
  </w:style>
  <w:style w:type="paragraph" w:customStyle="1" w:styleId="18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83">
    <w:name w:val="资料来源"/>
    <w:basedOn w:val="1"/>
    <w:qFormat/>
    <w:uiPriority w:val="0"/>
    <w:pPr>
      <w:tabs>
        <w:tab w:val="clear" w:pos="3261"/>
        <w:tab w:val="clear" w:pos="4536"/>
      </w:tabs>
      <w:autoSpaceDE w:val="0"/>
      <w:autoSpaceDN w:val="0"/>
      <w:adjustRightInd w:val="0"/>
      <w:spacing w:before="60" w:after="120" w:line="360" w:lineRule="auto"/>
      <w:ind w:left="425" w:firstLine="200" w:firstLineChars="200"/>
      <w:textAlignment w:val="baseline"/>
    </w:pPr>
    <w:rPr>
      <w:kern w:val="0"/>
      <w:sz w:val="18"/>
      <w:szCs w:val="20"/>
    </w:rPr>
  </w:style>
  <w:style w:type="paragraph" w:customStyle="1" w:styleId="184">
    <w:name w:val="样式1"/>
    <w:basedOn w:val="2"/>
    <w:qFormat/>
    <w:uiPriority w:val="0"/>
    <w:pPr>
      <w:tabs>
        <w:tab w:val="clear" w:pos="3261"/>
        <w:tab w:val="clear" w:pos="4536"/>
      </w:tabs>
      <w:autoSpaceDE w:val="0"/>
      <w:autoSpaceDN w:val="0"/>
      <w:adjustRightInd w:val="0"/>
      <w:spacing w:before="360" w:after="100" w:line="360" w:lineRule="auto"/>
      <w:ind w:left="3492" w:hanging="432"/>
      <w:jc w:val="center"/>
    </w:pPr>
    <w:rPr>
      <w:rFonts w:ascii="宋体" w:hAnsi="宋体" w:eastAsia="黑体"/>
      <w:sz w:val="36"/>
      <w:szCs w:val="36"/>
    </w:rPr>
  </w:style>
  <w:style w:type="paragraph" w:customStyle="1" w:styleId="185">
    <w:name w:val="xl44"/>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kern w:val="0"/>
      <w:sz w:val="20"/>
      <w:szCs w:val="20"/>
    </w:rPr>
  </w:style>
  <w:style w:type="paragraph" w:customStyle="1" w:styleId="186">
    <w:name w:val="xl72"/>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kern w:val="0"/>
      <w:sz w:val="20"/>
      <w:szCs w:val="20"/>
    </w:rPr>
  </w:style>
  <w:style w:type="paragraph" w:customStyle="1" w:styleId="187">
    <w:name w:val="图表标题"/>
    <w:basedOn w:val="1"/>
    <w:next w:val="20"/>
    <w:qFormat/>
    <w:uiPriority w:val="0"/>
    <w:pPr>
      <w:keepNext/>
      <w:tabs>
        <w:tab w:val="clear" w:pos="3261"/>
        <w:tab w:val="clear" w:pos="4536"/>
      </w:tabs>
      <w:autoSpaceDE w:val="0"/>
      <w:autoSpaceDN w:val="0"/>
      <w:adjustRightInd w:val="0"/>
      <w:spacing w:before="120" w:after="120" w:line="360" w:lineRule="auto"/>
      <w:ind w:firstLine="200" w:firstLineChars="200"/>
      <w:textAlignment w:val="baseline"/>
      <w:outlineLvl w:val="4"/>
    </w:pPr>
    <w:rPr>
      <w:kern w:val="0"/>
      <w:sz w:val="24"/>
      <w:szCs w:val="20"/>
    </w:rPr>
  </w:style>
  <w:style w:type="paragraph" w:customStyle="1" w:styleId="188">
    <w:name w:val="正文1"/>
    <w:basedOn w:val="1"/>
    <w:link w:val="214"/>
    <w:qFormat/>
    <w:uiPriority w:val="0"/>
    <w:pPr>
      <w:tabs>
        <w:tab w:val="clear" w:pos="3261"/>
        <w:tab w:val="clear" w:pos="4536"/>
      </w:tabs>
      <w:adjustRightInd w:val="0"/>
      <w:spacing w:line="360" w:lineRule="auto"/>
      <w:ind w:firstLine="200" w:firstLineChars="200"/>
      <w:jc w:val="center"/>
      <w:textAlignment w:val="baseline"/>
    </w:pPr>
    <w:rPr>
      <w:rFonts w:ascii="宋体"/>
      <w:kern w:val="0"/>
      <w:szCs w:val="20"/>
    </w:rPr>
  </w:style>
  <w:style w:type="paragraph" w:customStyle="1" w:styleId="189">
    <w:name w:val="梓枙 3"/>
    <w:basedOn w:val="165"/>
    <w:next w:val="165"/>
    <w:qFormat/>
    <w:uiPriority w:val="0"/>
    <w:pPr>
      <w:keepNext/>
      <w:keepLines/>
      <w:kinsoku/>
      <w:wordWrap/>
      <w:spacing w:line="480" w:lineRule="atLeast"/>
      <w:ind w:firstLine="567"/>
      <w:jc w:val="both"/>
    </w:pPr>
    <w:rPr>
      <w:b/>
      <w:sz w:val="28"/>
    </w:rPr>
  </w:style>
  <w:style w:type="paragraph" w:customStyle="1" w:styleId="190">
    <w:name w:val="xl66"/>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b/>
      <w:kern w:val="0"/>
      <w:sz w:val="20"/>
      <w:szCs w:val="20"/>
    </w:rPr>
  </w:style>
  <w:style w:type="paragraph" w:customStyle="1" w:styleId="191">
    <w:name w:val="Char Char Char Char Char Char Char Char Char Char Char Char Char Char Char Char"/>
    <w:basedOn w:val="1"/>
    <w:qFormat/>
    <w:uiPriority w:val="0"/>
    <w:pPr>
      <w:widowControl/>
      <w:tabs>
        <w:tab w:val="clear" w:pos="3261"/>
        <w:tab w:val="clear" w:pos="4536"/>
      </w:tabs>
      <w:spacing w:after="160" w:line="240" w:lineRule="exact"/>
      <w:ind w:firstLine="0" w:firstLineChars="0"/>
      <w:jc w:val="left"/>
    </w:pPr>
    <w:rPr>
      <w:rFonts w:ascii="Verdana" w:hAnsi="Verdana"/>
      <w:kern w:val="0"/>
      <w:sz w:val="20"/>
      <w:szCs w:val="20"/>
      <w:lang w:eastAsia="en-US"/>
    </w:rPr>
  </w:style>
  <w:style w:type="paragraph" w:customStyle="1" w:styleId="192">
    <w:name w:val="xl52"/>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color w:val="000000"/>
      <w:kern w:val="0"/>
      <w:sz w:val="20"/>
      <w:szCs w:val="20"/>
    </w:rPr>
  </w:style>
  <w:style w:type="paragraph" w:customStyle="1" w:styleId="193">
    <w:name w:val="表格文字"/>
    <w:basedOn w:val="1"/>
    <w:qFormat/>
    <w:uiPriority w:val="0"/>
    <w:pPr>
      <w:tabs>
        <w:tab w:val="clear" w:pos="3261"/>
        <w:tab w:val="clear" w:pos="4536"/>
      </w:tabs>
      <w:autoSpaceDE w:val="0"/>
      <w:autoSpaceDN w:val="0"/>
      <w:adjustRightInd w:val="0"/>
      <w:spacing w:line="360" w:lineRule="auto"/>
      <w:ind w:firstLine="200" w:firstLineChars="200"/>
    </w:pPr>
    <w:rPr>
      <w:rFonts w:ascii="宋体"/>
      <w:kern w:val="0"/>
      <w:szCs w:val="20"/>
    </w:rPr>
  </w:style>
  <w:style w:type="paragraph" w:customStyle="1" w:styleId="194">
    <w:name w:val="样式 标题 1 + 宋体 二号 加粗 居中"/>
    <w:basedOn w:val="2"/>
    <w:qFormat/>
    <w:uiPriority w:val="0"/>
    <w:pPr>
      <w:keepNext/>
      <w:tabs>
        <w:tab w:val="left" w:pos="1290"/>
        <w:tab w:val="clear" w:pos="3261"/>
        <w:tab w:val="clear" w:pos="4536"/>
      </w:tabs>
      <w:spacing w:before="0"/>
      <w:jc w:val="center"/>
    </w:pPr>
    <w:rPr>
      <w:rFonts w:ascii="宋体" w:hAnsi="宋体" w:eastAsia="黑体"/>
      <w:sz w:val="36"/>
      <w:szCs w:val="36"/>
    </w:rPr>
  </w:style>
  <w:style w:type="paragraph" w:customStyle="1" w:styleId="195">
    <w:name w:val="xl51"/>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kern w:val="0"/>
      <w:sz w:val="20"/>
      <w:szCs w:val="20"/>
    </w:rPr>
  </w:style>
  <w:style w:type="paragraph" w:customStyle="1" w:styleId="196">
    <w:name w:val="xl45"/>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left"/>
    </w:pPr>
    <w:rPr>
      <w:rFonts w:ascii="宋体"/>
      <w:color w:val="000000"/>
      <w:kern w:val="0"/>
      <w:sz w:val="20"/>
      <w:szCs w:val="20"/>
    </w:rPr>
  </w:style>
  <w:style w:type="paragraph" w:customStyle="1" w:styleId="197">
    <w:name w:val="style13"/>
    <w:basedOn w:val="1"/>
    <w:qFormat/>
    <w:uiPriority w:val="0"/>
    <w:pPr>
      <w:widowControl/>
      <w:tabs>
        <w:tab w:val="clear" w:pos="3261"/>
        <w:tab w:val="clear" w:pos="4536"/>
      </w:tabs>
      <w:spacing w:before="100" w:beforeAutospacing="1" w:after="100" w:afterAutospacing="1"/>
      <w:ind w:firstLine="0" w:firstLineChars="0"/>
      <w:jc w:val="left"/>
    </w:pPr>
    <w:rPr>
      <w:rFonts w:ascii="宋体"/>
      <w:kern w:val="0"/>
      <w:sz w:val="18"/>
      <w:szCs w:val="20"/>
    </w:rPr>
  </w:style>
  <w:style w:type="paragraph" w:customStyle="1" w:styleId="198">
    <w:name w:val="xl65"/>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b/>
      <w:kern w:val="0"/>
      <w:sz w:val="20"/>
      <w:szCs w:val="20"/>
    </w:rPr>
  </w:style>
  <w:style w:type="paragraph" w:customStyle="1" w:styleId="199">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clear" w:pos="3261"/>
        <w:tab w:val="clear" w:pos="4536"/>
      </w:tabs>
      <w:spacing w:before="100" w:beforeAutospacing="1" w:after="100" w:afterAutospacing="1" w:line="360" w:lineRule="auto"/>
      <w:ind w:firstLine="200" w:firstLineChars="200"/>
      <w:jc w:val="center"/>
    </w:pPr>
    <w:rPr>
      <w:rFonts w:ascii="宋体"/>
      <w:kern w:val="0"/>
      <w:sz w:val="20"/>
      <w:szCs w:val="20"/>
    </w:rPr>
  </w:style>
  <w:style w:type="paragraph" w:customStyle="1" w:styleId="200">
    <w:name w:val="xl67"/>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b/>
      <w:kern w:val="0"/>
      <w:sz w:val="20"/>
      <w:szCs w:val="20"/>
    </w:rPr>
  </w:style>
  <w:style w:type="paragraph" w:customStyle="1" w:styleId="201">
    <w:name w:val="xl5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clear" w:pos="3261"/>
        <w:tab w:val="clear" w:pos="4536"/>
      </w:tabs>
      <w:spacing w:before="100" w:beforeAutospacing="1" w:after="100" w:afterAutospacing="1" w:line="360" w:lineRule="auto"/>
      <w:ind w:firstLine="200" w:firstLineChars="200"/>
      <w:jc w:val="center"/>
    </w:pPr>
    <w:rPr>
      <w:rFonts w:ascii="宋体"/>
      <w:b/>
      <w:kern w:val="0"/>
      <w:sz w:val="20"/>
      <w:szCs w:val="20"/>
    </w:rPr>
  </w:style>
  <w:style w:type="paragraph" w:customStyle="1" w:styleId="202">
    <w:name w:val="xl50"/>
    <w:basedOn w:val="1"/>
    <w:qFormat/>
    <w:uiPriority w:val="0"/>
    <w:pPr>
      <w:widowControl/>
      <w:pBdr>
        <w:top w:val="single" w:color="auto" w:sz="4" w:space="0"/>
        <w:left w:val="single" w:color="auto" w:sz="4" w:space="0"/>
        <w:bottom w:val="single" w:color="auto" w:sz="4" w:space="0"/>
        <w:right w:val="single" w:color="auto" w:sz="4" w:space="0"/>
      </w:pBdr>
      <w:tabs>
        <w:tab w:val="clear" w:pos="3261"/>
        <w:tab w:val="clear" w:pos="4536"/>
      </w:tabs>
      <w:spacing w:before="100" w:beforeAutospacing="1" w:after="100" w:afterAutospacing="1" w:line="360" w:lineRule="auto"/>
      <w:ind w:firstLine="200" w:firstLineChars="200"/>
      <w:jc w:val="center"/>
    </w:pPr>
    <w:rPr>
      <w:rFonts w:ascii="宋体"/>
      <w:kern w:val="0"/>
      <w:sz w:val="20"/>
      <w:szCs w:val="20"/>
    </w:rPr>
  </w:style>
  <w:style w:type="paragraph" w:customStyle="1" w:styleId="203">
    <w:name w:val="样式3"/>
    <w:basedOn w:val="2"/>
    <w:qFormat/>
    <w:uiPriority w:val="0"/>
    <w:pPr>
      <w:keepNext/>
      <w:keepLines/>
      <w:tabs>
        <w:tab w:val="clear" w:pos="3261"/>
        <w:tab w:val="clear" w:pos="4536"/>
      </w:tabs>
      <w:spacing w:before="340" w:after="330" w:line="578" w:lineRule="auto"/>
      <w:jc w:val="center"/>
    </w:pPr>
    <w:rPr>
      <w:rFonts w:ascii="黑体" w:eastAsia="黑体"/>
      <w:b w:val="0"/>
      <w:kern w:val="0"/>
      <w:sz w:val="36"/>
      <w:szCs w:val="36"/>
    </w:rPr>
  </w:style>
  <w:style w:type="paragraph" w:customStyle="1" w:styleId="204">
    <w:name w:val="B1"/>
    <w:basedOn w:val="1"/>
    <w:qFormat/>
    <w:uiPriority w:val="0"/>
    <w:pPr>
      <w:tabs>
        <w:tab w:val="clear" w:pos="3261"/>
        <w:tab w:val="clear" w:pos="4536"/>
      </w:tabs>
      <w:spacing w:line="640" w:lineRule="exact"/>
      <w:ind w:firstLine="0" w:firstLineChars="0"/>
      <w:jc w:val="center"/>
    </w:pPr>
    <w:rPr>
      <w:rFonts w:ascii="黑体" w:hAnsi="黑体" w:eastAsia="黑体"/>
      <w:b/>
      <w:sz w:val="32"/>
      <w:szCs w:val="32"/>
    </w:rPr>
  </w:style>
  <w:style w:type="paragraph" w:customStyle="1" w:styleId="205">
    <w:name w:val="_Style 2"/>
    <w:basedOn w:val="1"/>
    <w:qFormat/>
    <w:uiPriority w:val="0"/>
    <w:pPr>
      <w:tabs>
        <w:tab w:val="clear" w:pos="3261"/>
        <w:tab w:val="clear" w:pos="4536"/>
      </w:tabs>
      <w:ind w:firstLine="0" w:firstLineChars="0"/>
    </w:pPr>
    <w:rPr>
      <w:sz w:val="21"/>
      <w:szCs w:val="20"/>
    </w:rPr>
  </w:style>
  <w:style w:type="paragraph" w:customStyle="1" w:styleId="206">
    <w:name w:val="列出段落11"/>
    <w:basedOn w:val="1"/>
    <w:qFormat/>
    <w:uiPriority w:val="0"/>
    <w:pPr>
      <w:tabs>
        <w:tab w:val="clear" w:pos="3261"/>
        <w:tab w:val="clear" w:pos="4536"/>
      </w:tabs>
      <w:ind w:firstLine="420" w:firstLineChars="200"/>
    </w:pPr>
    <w:rPr>
      <w:rFonts w:cs="Calibri"/>
      <w:sz w:val="21"/>
      <w:szCs w:val="21"/>
    </w:rPr>
  </w:style>
  <w:style w:type="character" w:customStyle="1" w:styleId="207">
    <w:name w:val="副标题 Char1"/>
    <w:basedOn w:val="46"/>
    <w:qFormat/>
    <w:uiPriority w:val="11"/>
    <w:rPr>
      <w:rFonts w:asciiTheme="majorHAnsi" w:hAnsiTheme="majorHAnsi" w:cstheme="majorBidi"/>
      <w:b/>
      <w:bCs/>
      <w:kern w:val="28"/>
      <w:sz w:val="32"/>
      <w:szCs w:val="32"/>
    </w:rPr>
  </w:style>
  <w:style w:type="table" w:customStyle="1" w:styleId="208">
    <w:name w:val="TableGrid1"/>
    <w:qFormat/>
    <w:uiPriority w:val="0"/>
    <w:rPr>
      <w:rFonts w:eastAsia="等线"/>
    </w:rPr>
    <w:tblPr>
      <w:tblLayout w:type="fixed"/>
      <w:tblCellMar>
        <w:top w:w="0" w:type="dxa"/>
        <w:left w:w="0" w:type="dxa"/>
        <w:bottom w:w="0" w:type="dxa"/>
        <w:right w:w="0" w:type="dxa"/>
      </w:tblCellMar>
    </w:tblPr>
  </w:style>
  <w:style w:type="paragraph" w:customStyle="1" w:styleId="209">
    <w:name w:val="reader-word-layer"/>
    <w:basedOn w:val="1"/>
    <w:qFormat/>
    <w:uiPriority w:val="0"/>
    <w:pPr>
      <w:widowControl/>
      <w:tabs>
        <w:tab w:val="clear" w:pos="3261"/>
        <w:tab w:val="clear" w:pos="4536"/>
      </w:tabs>
      <w:spacing w:before="100" w:beforeAutospacing="1" w:after="100" w:afterAutospacing="1"/>
      <w:ind w:firstLine="0" w:firstLineChars="0"/>
      <w:jc w:val="left"/>
    </w:pPr>
    <w:rPr>
      <w:rFonts w:ascii="宋体" w:hAnsi="宋体" w:cs="宋体"/>
      <w:kern w:val="0"/>
      <w:sz w:val="24"/>
      <w:szCs w:val="24"/>
    </w:rPr>
  </w:style>
  <w:style w:type="character" w:customStyle="1" w:styleId="210">
    <w:name w:val="列出段落 Char"/>
    <w:link w:val="211"/>
    <w:qFormat/>
    <w:uiPriority w:val="34"/>
    <w:rPr>
      <w:rFonts w:eastAsia="仿宋_GB2312"/>
      <w:sz w:val="28"/>
    </w:rPr>
  </w:style>
  <w:style w:type="paragraph" w:styleId="211">
    <w:name w:val="List Paragraph"/>
    <w:basedOn w:val="1"/>
    <w:link w:val="210"/>
    <w:qFormat/>
    <w:uiPriority w:val="34"/>
    <w:pPr>
      <w:tabs>
        <w:tab w:val="clear" w:pos="3261"/>
        <w:tab w:val="clear" w:pos="4536"/>
      </w:tabs>
      <w:spacing w:line="360" w:lineRule="auto"/>
      <w:ind w:firstLine="200" w:firstLineChars="200"/>
    </w:pPr>
    <w:rPr>
      <w:rFonts w:eastAsia="仿宋_GB2312" w:asciiTheme="minorHAnsi" w:hAnsiTheme="minorHAnsi" w:cstheme="minorBidi"/>
      <w:kern w:val="0"/>
      <w:szCs w:val="20"/>
    </w:rPr>
  </w:style>
  <w:style w:type="character" w:customStyle="1" w:styleId="212">
    <w:name w:val="正文文本 (2)_"/>
    <w:basedOn w:val="46"/>
    <w:link w:val="213"/>
    <w:qFormat/>
    <w:locked/>
    <w:uiPriority w:val="99"/>
    <w:rPr>
      <w:rFonts w:ascii="MingLiU" w:eastAsia="MingLiU"/>
      <w:sz w:val="26"/>
      <w:szCs w:val="26"/>
      <w:shd w:val="clear" w:color="auto" w:fill="FFFFFF"/>
    </w:rPr>
  </w:style>
  <w:style w:type="paragraph" w:customStyle="1" w:styleId="213">
    <w:name w:val="正文文本 (2)"/>
    <w:basedOn w:val="1"/>
    <w:link w:val="212"/>
    <w:qFormat/>
    <w:uiPriority w:val="99"/>
    <w:pPr>
      <w:shd w:val="clear" w:color="auto" w:fill="FFFFFF"/>
      <w:tabs>
        <w:tab w:val="clear" w:pos="3261"/>
        <w:tab w:val="clear" w:pos="4536"/>
      </w:tabs>
      <w:spacing w:before="480" w:line="624" w:lineRule="exact"/>
      <w:ind w:firstLine="0" w:firstLineChars="0"/>
      <w:jc w:val="distribute"/>
    </w:pPr>
    <w:rPr>
      <w:rFonts w:ascii="MingLiU" w:eastAsia="MingLiU" w:hAnsiTheme="minorHAnsi" w:cstheme="minorBidi"/>
      <w:kern w:val="0"/>
      <w:sz w:val="26"/>
      <w:szCs w:val="26"/>
      <w:shd w:val="clear" w:color="auto" w:fill="FFFFFF"/>
    </w:rPr>
  </w:style>
  <w:style w:type="character" w:customStyle="1" w:styleId="214">
    <w:name w:val="正文 Char"/>
    <w:basedOn w:val="46"/>
    <w:link w:val="188"/>
    <w:qFormat/>
    <w:uiPriority w:val="0"/>
    <w:rPr>
      <w:rFonts w:ascii="宋体" w:hAnsi="Times New Roman" w:cs="Times New Roman"/>
      <w:sz w:val="28"/>
    </w:rPr>
  </w:style>
  <w:style w:type="character" w:customStyle="1" w:styleId="215">
    <w:name w:val="脚注文本 Char"/>
    <w:link w:val="32"/>
    <w:qFormat/>
    <w:uiPriority w:val="99"/>
    <w:rPr>
      <w:rFonts w:ascii="Calibri" w:hAnsi="Calibri"/>
      <w:kern w:val="2"/>
      <w:sz w:val="18"/>
      <w:szCs w:val="18"/>
    </w:rPr>
  </w:style>
  <w:style w:type="paragraph" w:customStyle="1" w:styleId="21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17">
    <w:name w:val="TOC 标题2"/>
    <w:basedOn w:val="2"/>
    <w:next w:val="1"/>
    <w:unhideWhenUsed/>
    <w:qFormat/>
    <w:uiPriority w:val="39"/>
    <w:pPr>
      <w:keepNext/>
      <w:keepLines/>
      <w:widowControl/>
      <w:tabs>
        <w:tab w:val="clear" w:pos="3261"/>
        <w:tab w:val="clear" w:pos="4536"/>
      </w:tabs>
      <w:spacing w:before="480" w:line="276" w:lineRule="auto"/>
      <w:jc w:val="left"/>
      <w:outlineLvl w:val="9"/>
    </w:pPr>
    <w:rPr>
      <w:rFonts w:ascii="Cambria" w:hAnsi="Cambria"/>
      <w:bCs/>
      <w:color w:val="366091"/>
      <w:kern w:val="0"/>
    </w:rPr>
  </w:style>
  <w:style w:type="character" w:customStyle="1" w:styleId="218">
    <w:name w:val="脚注文本 Char1"/>
    <w:basedOn w:val="46"/>
    <w:semiHidden/>
    <w:qFormat/>
    <w:uiPriority w:val="99"/>
    <w:rPr>
      <w:rFonts w:ascii="Times New Roman" w:hAnsi="Times New Roman" w:cs="Times New Roman"/>
      <w:kern w:val="2"/>
      <w:sz w:val="18"/>
      <w:szCs w:val="18"/>
    </w:rPr>
  </w:style>
  <w:style w:type="paragraph" w:customStyle="1" w:styleId="219">
    <w:name w:val="Char1 Char Char Char Char Char Char1"/>
    <w:basedOn w:val="1"/>
    <w:qFormat/>
    <w:uiPriority w:val="0"/>
    <w:pPr>
      <w:tabs>
        <w:tab w:val="clear" w:pos="3261"/>
        <w:tab w:val="clear" w:pos="4536"/>
      </w:tabs>
      <w:ind w:firstLine="200" w:firstLineChars="200"/>
    </w:pPr>
    <w:rPr>
      <w:szCs w:val="24"/>
    </w:rPr>
  </w:style>
  <w:style w:type="paragraph" w:customStyle="1" w:styleId="220">
    <w:name w:val="Char1 Char Char Char Char Char Char"/>
    <w:basedOn w:val="1"/>
    <w:qFormat/>
    <w:uiPriority w:val="0"/>
    <w:pPr>
      <w:tabs>
        <w:tab w:val="clear" w:pos="3261"/>
        <w:tab w:val="clear" w:pos="4536"/>
      </w:tabs>
      <w:ind w:firstLine="200" w:firstLineChars="200"/>
    </w:pPr>
    <w:rPr>
      <w:szCs w:val="24"/>
    </w:rPr>
  </w:style>
  <w:style w:type="paragraph" w:customStyle="1" w:styleId="22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2">
    <w:name w:val="列出段落2"/>
    <w:basedOn w:val="1"/>
    <w:qFormat/>
    <w:uiPriority w:val="99"/>
    <w:pPr>
      <w:tabs>
        <w:tab w:val="clear" w:pos="3261"/>
        <w:tab w:val="clear" w:pos="4536"/>
      </w:tabs>
      <w:ind w:firstLine="420" w:firstLineChars="200"/>
    </w:pPr>
    <w:rPr>
      <w:rFonts w:ascii="Calibri" w:hAnsi="Calibri"/>
      <w:szCs w:val="22"/>
    </w:rPr>
  </w:style>
  <w:style w:type="table" w:customStyle="1" w:styleId="223">
    <w:name w:val="网格型1"/>
    <w:basedOn w:val="44"/>
    <w:qFormat/>
    <w:uiPriority w:val="5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24">
    <w:name w:val="修订1"/>
    <w:hidden/>
    <w:semiHidden/>
    <w:qFormat/>
    <w:uiPriority w:val="99"/>
    <w:rPr>
      <w:rFonts w:ascii="Times New Roman" w:hAnsi="Times New Roman" w:eastAsia="宋体" w:cs="Times New Roman"/>
      <w:kern w:val="2"/>
      <w:sz w:val="28"/>
      <w:szCs w:val="28"/>
      <w:lang w:val="en-US" w:eastAsia="zh-CN" w:bidi="ar-SA"/>
    </w:rPr>
  </w:style>
  <w:style w:type="table" w:customStyle="1" w:styleId="225">
    <w:name w:val="网格型2"/>
    <w:basedOn w:val="44"/>
    <w:qFormat/>
    <w:uiPriority w:val="59"/>
    <w:rPr>
      <w:rFonts w:ascii="Calibri" w:hAnsi="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6">
    <w:name w:val="默认段落字体 Para Char"/>
    <w:basedOn w:val="1"/>
    <w:qFormat/>
    <w:uiPriority w:val="0"/>
    <w:pPr>
      <w:tabs>
        <w:tab w:val="clear" w:pos="3261"/>
        <w:tab w:val="clear" w:pos="4536"/>
      </w:tabs>
      <w:spacing w:line="360" w:lineRule="auto"/>
      <w:ind w:firstLine="200" w:firstLineChars="200"/>
    </w:pPr>
    <w:rPr>
      <w:sz w:val="21"/>
      <w:szCs w:val="24"/>
    </w:rPr>
  </w:style>
  <w:style w:type="character" w:styleId="227">
    <w:name w:val="Placeholder Text"/>
    <w:basedOn w:val="46"/>
    <w:unhideWhenUsed/>
    <w:qFormat/>
    <w:uiPriority w:val="99"/>
    <w:rPr>
      <w:color w:val="808080"/>
    </w:rPr>
  </w:style>
  <w:style w:type="character" w:customStyle="1" w:styleId="228">
    <w:name w:val="font11"/>
    <w:basedOn w:val="46"/>
    <w:qFormat/>
    <w:uiPriority w:val="0"/>
    <w:rPr>
      <w:rFonts w:hint="eastAsia" w:ascii="宋体" w:hAnsi="宋体" w:eastAsia="宋体" w:cs="宋体"/>
      <w:b/>
      <w:color w:val="000000"/>
      <w:sz w:val="20"/>
      <w:szCs w:val="20"/>
      <w:u w:val="none"/>
    </w:rPr>
  </w:style>
  <w:style w:type="table" w:customStyle="1" w:styleId="229">
    <w:name w:val="网格型3"/>
    <w:basedOn w:val="44"/>
    <w:qFormat/>
    <w:uiPriority w:val="0"/>
    <w:rPr>
      <w:rFonts w:ascii="Calibri" w:hAnsi="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0">
    <w:name w:val="网格型4"/>
    <w:basedOn w:val="44"/>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1">
    <w:name w:val="TOC 标题3"/>
    <w:basedOn w:val="2"/>
    <w:next w:val="1"/>
    <w:qFormat/>
    <w:uiPriority w:val="99"/>
    <w:pPr>
      <w:keepNext/>
      <w:keepLines/>
      <w:widowControl/>
      <w:tabs>
        <w:tab w:val="clear" w:pos="3261"/>
        <w:tab w:val="clear" w:pos="4536"/>
      </w:tabs>
      <w:spacing w:before="0" w:line="259" w:lineRule="auto"/>
      <w:jc w:val="left"/>
      <w:outlineLvl w:val="9"/>
    </w:pPr>
    <w:rPr>
      <w:rFonts w:ascii="等线 Light" w:hAnsi="等线 Light" w:eastAsia="等线 Light"/>
      <w:b w:val="0"/>
      <w:color w:val="2E74B5"/>
      <w:kern w:val="0"/>
      <w:szCs w:val="32"/>
    </w:rPr>
  </w:style>
  <w:style w:type="table" w:customStyle="1" w:styleId="232">
    <w:name w:val="网格型5"/>
    <w:basedOn w:val="44"/>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3">
    <w:name w:val="网格型6"/>
    <w:basedOn w:val="44"/>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4">
    <w:name w:val="网格型7"/>
    <w:basedOn w:val="44"/>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5">
    <w:name w:val="网格型8"/>
    <w:basedOn w:val="44"/>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6">
    <w:name w:val="修订11"/>
    <w:hidden/>
    <w:semiHidden/>
    <w:qFormat/>
    <w:uiPriority w:val="99"/>
    <w:rPr>
      <w:rFonts w:ascii="Times New Roman" w:hAnsi="Times New Roman" w:eastAsia="宋体" w:cs="Times New Roman"/>
      <w:kern w:val="2"/>
      <w:sz w:val="28"/>
      <w:szCs w:val="22"/>
      <w:lang w:val="zh-CN" w:eastAsia="zh-CN" w:bidi="ar-SA"/>
    </w:rPr>
  </w:style>
  <w:style w:type="table" w:customStyle="1" w:styleId="237">
    <w:name w:val="Table Normal"/>
    <w:qFormat/>
    <w:uiPriority w:val="0"/>
    <w:rPr>
      <w:rFonts w:ascii="Times New Roman" w:hAnsi="Times New Roman" w:cs="Times New Roman"/>
    </w:rPr>
    <w:tblPr>
      <w:tblLayout w:type="fixed"/>
      <w:tblCellMar>
        <w:top w:w="0" w:type="dxa"/>
        <w:left w:w="0" w:type="dxa"/>
        <w:bottom w:w="0" w:type="dxa"/>
        <w:right w:w="0" w:type="dxa"/>
      </w:tblCellMar>
    </w:tblPr>
  </w:style>
  <w:style w:type="table" w:customStyle="1" w:styleId="238">
    <w:name w:val="网格型11"/>
    <w:basedOn w:val="44"/>
    <w:qFormat/>
    <w:uiPriority w:val="59"/>
    <w:rPr>
      <w:rFonts w:ascii="Calibri" w:hAnsi="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39">
    <w:name w:val="占位符文本1"/>
    <w:basedOn w:val="46"/>
    <w:unhideWhenUsed/>
    <w:qFormat/>
    <w:uiPriority w:val="99"/>
    <w:rPr>
      <w:color w:val="808080"/>
    </w:rPr>
  </w:style>
  <w:style w:type="paragraph" w:customStyle="1" w:styleId="240">
    <w:name w:val="列出段落12"/>
    <w:basedOn w:val="1"/>
    <w:qFormat/>
    <w:uiPriority w:val="34"/>
    <w:pPr>
      <w:widowControl/>
      <w:tabs>
        <w:tab w:val="clear" w:pos="3261"/>
        <w:tab w:val="clear" w:pos="4536"/>
      </w:tabs>
      <w:spacing w:line="360" w:lineRule="auto"/>
      <w:ind w:firstLine="420" w:firstLineChars="200"/>
    </w:pPr>
    <w:rPr>
      <w:szCs w:val="22"/>
    </w:rPr>
  </w:style>
  <w:style w:type="paragraph" w:customStyle="1" w:styleId="241">
    <w:name w:val="TOC 标题11"/>
    <w:basedOn w:val="2"/>
    <w:next w:val="1"/>
    <w:qFormat/>
    <w:uiPriority w:val="39"/>
    <w:pPr>
      <w:keepNext/>
      <w:keepLines/>
      <w:widowControl/>
      <w:tabs>
        <w:tab w:val="clear" w:pos="3261"/>
        <w:tab w:val="clear" w:pos="4536"/>
      </w:tabs>
      <w:spacing w:before="0" w:line="256" w:lineRule="auto"/>
      <w:jc w:val="center"/>
      <w:outlineLvl w:val="9"/>
    </w:pPr>
    <w:rPr>
      <w:rFonts w:asciiTheme="majorHAnsi" w:hAnsiTheme="majorHAnsi" w:eastAsiaTheme="majorEastAsia" w:cstheme="majorBidi"/>
      <w:b w:val="0"/>
      <w:color w:val="2E75B6" w:themeColor="accent1" w:themeShade="BF"/>
      <w:kern w:val="0"/>
      <w:szCs w:val="32"/>
    </w:rPr>
  </w:style>
  <w:style w:type="table" w:customStyle="1" w:styleId="242">
    <w:name w:val="网格型31"/>
    <w:basedOn w:val="44"/>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3">
    <w:name w:val="网格型51"/>
    <w:basedOn w:val="4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44">
    <w:name w:val="修订2"/>
    <w:hidden/>
    <w:semiHidden/>
    <w:qFormat/>
    <w:uiPriority w:val="99"/>
    <w:rPr>
      <w:rFonts w:ascii="Times New Roman" w:hAnsi="Times New Roman" w:eastAsia="宋体" w:cs="Times New Roman"/>
      <w:kern w:val="2"/>
      <w:sz w:val="28"/>
      <w:szCs w:val="28"/>
      <w:lang w:val="en-US" w:eastAsia="zh-CN" w:bidi="ar-SA"/>
    </w:rPr>
  </w:style>
  <w:style w:type="table" w:customStyle="1" w:styleId="245">
    <w:name w:val="Table Normal1"/>
    <w:semiHidden/>
    <w:unhideWhenUsed/>
    <w:qFormat/>
    <w:uiPriority w:val="2"/>
    <w:pPr>
      <w:widowControl w:val="0"/>
    </w:pPr>
    <w:rPr>
      <w:sz w:val="22"/>
      <w:szCs w:val="22"/>
      <w:lang w:eastAsia="en-US"/>
    </w:rPr>
    <w:tblPr>
      <w:tblLayout w:type="fixed"/>
      <w:tblCellMar>
        <w:top w:w="0" w:type="dxa"/>
        <w:left w:w="0" w:type="dxa"/>
        <w:bottom w:w="0" w:type="dxa"/>
        <w:right w:w="0" w:type="dxa"/>
      </w:tblCellMar>
    </w:tblPr>
  </w:style>
  <w:style w:type="table" w:customStyle="1" w:styleId="246">
    <w:name w:val="Table Normal2"/>
    <w:semiHidden/>
    <w:unhideWhenUsed/>
    <w:qFormat/>
    <w:uiPriority w:val="2"/>
    <w:pPr>
      <w:widowControl w:val="0"/>
    </w:pPr>
    <w:rPr>
      <w:sz w:val="22"/>
      <w:szCs w:val="22"/>
      <w:lang w:eastAsia="en-US"/>
    </w:rPr>
    <w:tblPr>
      <w:tblLayout w:type="fixed"/>
      <w:tblCellMar>
        <w:top w:w="0" w:type="dxa"/>
        <w:left w:w="0" w:type="dxa"/>
        <w:bottom w:w="0" w:type="dxa"/>
        <w:right w:w="0" w:type="dxa"/>
      </w:tblCellMar>
    </w:tblPr>
  </w:style>
  <w:style w:type="table" w:customStyle="1" w:styleId="247">
    <w:name w:val="网格型32"/>
    <w:basedOn w:val="4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48">
    <w:name w:val="正文A"/>
    <w:basedOn w:val="1"/>
    <w:qFormat/>
    <w:uiPriority w:val="0"/>
    <w:pPr>
      <w:widowControl/>
      <w:tabs>
        <w:tab w:val="clear" w:pos="3261"/>
        <w:tab w:val="clear" w:pos="4536"/>
      </w:tabs>
      <w:spacing w:line="540" w:lineRule="exact"/>
      <w:ind w:firstLine="200" w:firstLineChars="200"/>
    </w:pPr>
    <w:rPr>
      <w:rFonts w:eastAsia="仿宋" w:asciiTheme="minorHAnsi" w:hAnsiTheme="minorHAnsi" w:cstheme="minorBidi"/>
      <w:szCs w:val="22"/>
    </w:rPr>
  </w:style>
  <w:style w:type="table" w:customStyle="1" w:styleId="249">
    <w:name w:val="网格型9"/>
    <w:basedOn w:val="44"/>
    <w:qFormat/>
    <w:uiPriority w:val="59"/>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0">
    <w:name w:val="网格型10"/>
    <w:basedOn w:val="44"/>
    <w:qFormat/>
    <w:uiPriority w:val="59"/>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1">
    <w:name w:val="TableGrid2"/>
    <w:qFormat/>
    <w:uiPriority w:val="0"/>
    <w:rPr>
      <w:rFonts w:eastAsia="等线"/>
    </w:rPr>
    <w:tblPr>
      <w:tblLayout w:type="fixed"/>
      <w:tblCellMar>
        <w:top w:w="0" w:type="dxa"/>
        <w:left w:w="0" w:type="dxa"/>
        <w:bottom w:w="0" w:type="dxa"/>
        <w:right w:w="0" w:type="dxa"/>
      </w:tblCellMar>
    </w:tblPr>
  </w:style>
  <w:style w:type="table" w:customStyle="1" w:styleId="252">
    <w:name w:val="网格型21"/>
    <w:basedOn w:val="44"/>
    <w:qFormat/>
    <w:uiPriority w:val="39"/>
    <w:rPr>
      <w:rFonts w:ascii="等线" w:hAnsi="等线" w:eastAsia="等线"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3">
    <w:name w:val="网格型12"/>
    <w:basedOn w:val="44"/>
    <w:qFormat/>
    <w:uiPriority w:val="59"/>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emf"/><Relationship Id="rId15" Type="http://schemas.openxmlformats.org/officeDocument/2006/relationships/image" Target="media/image4.emf"/><Relationship Id="rId14" Type="http://schemas.openxmlformats.org/officeDocument/2006/relationships/image" Target="media/image3.emf"/><Relationship Id="rId13" Type="http://schemas.openxmlformats.org/officeDocument/2006/relationships/image" Target="media/image2.emf"/><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8AF76B-4425-4A5C-BF33-67339B595A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3404</Words>
  <Characters>19407</Characters>
  <Lines>161</Lines>
  <Paragraphs>45</Paragraphs>
  <TotalTime>126</TotalTime>
  <ScaleCrop>false</ScaleCrop>
  <LinksUpToDate>false</LinksUpToDate>
  <CharactersWithSpaces>22766</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2018-02-27T07:00:00Z</dcterms:created>
  <dc:creator>gaoge</dc:creator>
  <cp:lastModifiedBy>WPS_133923795</cp:lastModifiedBy>
  <cp:lastPrinted>2017-12-26T07:52:00Z</cp:lastPrinted>
  <dcterms:modified xsi:type="dcterms:W3CDTF">2019-03-28T04:11:08Z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